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4381A1E9" w:rsidR="00F93EB0" w:rsidRPr="002571FE" w:rsidRDefault="006B6A1A" w:rsidP="00F93EB0">
      <w:pPr>
        <w:tabs>
          <w:tab w:val="left" w:pos="7920"/>
        </w:tabs>
        <w:rPr>
          <w:rFonts w:ascii="Arial" w:hAnsi="Arial" w:cs="Arial"/>
          <w:b/>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#96</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-1</w:t>
      </w:r>
      <w:r w:rsidR="0035568A">
        <w:rPr>
          <w:rFonts w:ascii="Arial" w:hAnsi="Arial" w:cs="Arial"/>
          <w:b/>
          <w:bCs/>
        </w:rPr>
        <w:t>9</w:t>
      </w:r>
      <w:r w:rsidR="00C73B42">
        <w:rPr>
          <w:rFonts w:ascii="Arial" w:hAnsi="Arial" w:cs="Arial"/>
          <w:b/>
          <w:bCs/>
        </w:rPr>
        <w:t>0277</w:t>
      </w:r>
      <w:r w:rsidR="007A70E3">
        <w:rPr>
          <w:rFonts w:ascii="Arial" w:hAnsi="Arial" w:cs="Arial"/>
          <w:b/>
          <w:bCs/>
        </w:rPr>
        <w:t>3</w:t>
      </w:r>
      <w:r w:rsidR="00F93EB0">
        <w:rPr>
          <w:rFonts w:ascii="Arial" w:hAnsi="Arial" w:cs="Arial"/>
          <w:b/>
          <w:lang w:val="de-DE"/>
        </w:rPr>
        <w:br/>
      </w:r>
      <w:r w:rsidR="00A5232D">
        <w:rPr>
          <w:rFonts w:ascii="Arial" w:hAnsi="Arial" w:cs="Arial"/>
          <w:b/>
        </w:rPr>
        <w:t>Athens, Greece</w:t>
      </w:r>
      <w:r w:rsidR="003B1600">
        <w:rPr>
          <w:rFonts w:ascii="Arial" w:hAnsi="Arial" w:cs="Arial"/>
          <w:b/>
        </w:rPr>
        <w:t xml:space="preserve">, </w:t>
      </w:r>
      <w:r w:rsidR="00AB5819">
        <w:rPr>
          <w:rFonts w:ascii="Arial" w:hAnsi="Arial" w:cs="Arial"/>
          <w:b/>
        </w:rPr>
        <w:t>25</w:t>
      </w:r>
      <w:r w:rsidR="00AB5819" w:rsidRPr="00AB5819">
        <w:rPr>
          <w:rFonts w:ascii="Arial" w:hAnsi="Arial" w:cs="Arial"/>
          <w:b/>
          <w:vertAlign w:val="superscript"/>
        </w:rPr>
        <w:t>th</w:t>
      </w:r>
      <w:r w:rsidR="00AB5819">
        <w:rPr>
          <w:rFonts w:ascii="Arial" w:hAnsi="Arial" w:cs="Arial"/>
          <w:b/>
        </w:rPr>
        <w:t xml:space="preserve"> </w:t>
      </w:r>
      <w:r w:rsidR="00A5232D">
        <w:rPr>
          <w:rFonts w:ascii="Arial" w:hAnsi="Arial" w:cs="Arial"/>
          <w:b/>
        </w:rPr>
        <w:t>February – 1</w:t>
      </w:r>
      <w:r w:rsidR="00A5232D" w:rsidRPr="00A5232D">
        <w:rPr>
          <w:rFonts w:ascii="Arial" w:hAnsi="Arial" w:cs="Arial"/>
          <w:b/>
          <w:vertAlign w:val="superscript"/>
        </w:rPr>
        <w:t>st</w:t>
      </w:r>
      <w:r w:rsidR="00A5232D">
        <w:rPr>
          <w:rFonts w:ascii="Arial" w:hAnsi="Arial" w:cs="Arial"/>
          <w:b/>
        </w:rPr>
        <w:t xml:space="preserve"> March</w:t>
      </w:r>
      <w:r w:rsidR="004D767B">
        <w:rPr>
          <w:rFonts w:ascii="Arial" w:hAnsi="Arial" w:cs="Arial"/>
          <w:b/>
        </w:rPr>
        <w:t>, 201</w:t>
      </w:r>
      <w:r w:rsidR="00AB5819">
        <w:rPr>
          <w:rFonts w:ascii="Arial" w:hAnsi="Arial" w:cs="Arial"/>
          <w:b/>
        </w:rPr>
        <w:t>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3D4404CD"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AB5819">
        <w:rPr>
          <w:rFonts w:ascii="Arial" w:hAnsi="Arial" w:cs="Arial"/>
          <w:b/>
        </w:rPr>
        <w:t>3.</w:t>
      </w:r>
      <w:r w:rsidR="00FA3786">
        <w:rPr>
          <w:rFonts w:ascii="Arial" w:hAnsi="Arial" w:cs="Arial"/>
          <w:b/>
        </w:rPr>
        <w:t>1</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7022B8FE"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FA3786">
        <w:rPr>
          <w:rFonts w:ascii="Arial" w:hAnsi="Arial" w:cs="Arial"/>
          <w:b/>
        </w:rPr>
        <w:t>Considerations on uplink power control for supporting NN-DC</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032881E8" w:rsidR="00487A13" w:rsidRPr="00487A13" w:rsidRDefault="006B6A1A" w:rsidP="00487A13">
      <w:pPr>
        <w:pStyle w:val="Heading1"/>
      </w:pPr>
      <w:r>
        <w:t>Introduction</w:t>
      </w:r>
    </w:p>
    <w:p w14:paraId="2D9967A6" w14:textId="199DD0BC" w:rsidR="008B6813" w:rsidRDefault="008B6813" w:rsidP="008B6813">
      <w:pPr>
        <w:jc w:val="both"/>
        <w:rPr>
          <w:rFonts w:eastAsia="MS Mincho"/>
          <w:sz w:val="22"/>
          <w:szCs w:val="22"/>
          <w:lang w:eastAsia="ja-JP"/>
        </w:rPr>
      </w:pPr>
      <w:r>
        <w:rPr>
          <w:rFonts w:eastAsia="MS Mincho"/>
          <w:sz w:val="22"/>
          <w:szCs w:val="22"/>
          <w:lang w:eastAsia="ja-JP"/>
        </w:rPr>
        <w:t>It</w:t>
      </w:r>
      <w:r>
        <w:rPr>
          <w:rFonts w:eastAsia="MS Mincho"/>
          <w:sz w:val="22"/>
          <w:szCs w:val="22"/>
          <w:lang w:eastAsia="ja-JP"/>
        </w:rPr>
        <w:t xml:space="preserve"> was agreed in RAN #81 </w:t>
      </w:r>
      <w:r w:rsidR="00EC4582">
        <w:rPr>
          <w:rFonts w:eastAsia="MS Mincho"/>
          <w:sz w:val="22"/>
          <w:szCs w:val="22"/>
          <w:lang w:eastAsia="ja-JP"/>
        </w:rPr>
        <w:fldChar w:fldCharType="begin"/>
      </w:r>
      <w:r w:rsidR="00EC4582">
        <w:rPr>
          <w:rFonts w:eastAsia="MS Mincho"/>
          <w:sz w:val="22"/>
          <w:szCs w:val="22"/>
          <w:lang w:eastAsia="ja-JP"/>
        </w:rPr>
        <w:instrText xml:space="preserve"> REF _Ref1153244 \n \h </w:instrText>
      </w:r>
      <w:r w:rsidR="00EC4582">
        <w:rPr>
          <w:rFonts w:eastAsia="MS Mincho"/>
          <w:sz w:val="22"/>
          <w:szCs w:val="22"/>
          <w:lang w:eastAsia="ja-JP"/>
        </w:rPr>
      </w:r>
      <w:r w:rsidR="00EC4582">
        <w:rPr>
          <w:rFonts w:eastAsia="MS Mincho"/>
          <w:sz w:val="22"/>
          <w:szCs w:val="22"/>
          <w:lang w:eastAsia="ja-JP"/>
        </w:rPr>
        <w:fldChar w:fldCharType="separate"/>
      </w:r>
      <w:r w:rsidR="0053402D">
        <w:rPr>
          <w:rFonts w:eastAsia="MS Mincho"/>
          <w:sz w:val="22"/>
          <w:szCs w:val="22"/>
          <w:lang w:eastAsia="ja-JP"/>
        </w:rPr>
        <w:t>[1]</w:t>
      </w:r>
      <w:r w:rsidR="00EC4582">
        <w:rPr>
          <w:rFonts w:eastAsia="MS Mincho"/>
          <w:sz w:val="22"/>
          <w:szCs w:val="22"/>
          <w:lang w:eastAsia="ja-JP"/>
        </w:rPr>
        <w:fldChar w:fldCharType="end"/>
      </w:r>
      <w:r w:rsidR="00EC4582">
        <w:rPr>
          <w:rFonts w:eastAsia="MS Mincho"/>
          <w:sz w:val="22"/>
          <w:szCs w:val="22"/>
          <w:lang w:eastAsia="ja-JP"/>
        </w:rPr>
        <w:t xml:space="preserve"> </w:t>
      </w:r>
      <w:r>
        <w:rPr>
          <w:rFonts w:eastAsia="MS Mincho"/>
          <w:sz w:val="22"/>
          <w:szCs w:val="22"/>
          <w:lang w:eastAsia="ja-JP"/>
        </w:rPr>
        <w:t>to include the following as one of the objectives for the R16 work item on “MR-DC and CA enhancements”</w:t>
      </w:r>
      <w:r>
        <w:rPr>
          <w:rFonts w:eastAsia="MS Mincho"/>
          <w:sz w:val="22"/>
          <w:szCs w:val="22"/>
          <w:lang w:eastAsia="ja-JP"/>
        </w:rPr>
        <w:fldChar w:fldCharType="begin"/>
      </w:r>
      <w:r>
        <w:rPr>
          <w:rFonts w:eastAsia="MS Mincho"/>
          <w:sz w:val="22"/>
          <w:szCs w:val="22"/>
          <w:lang w:eastAsia="ja-JP"/>
        </w:rPr>
        <w:instrText xml:space="preserve"> REF _Ref534895922 \n \h </w:instrText>
      </w:r>
      <w:r>
        <w:rPr>
          <w:rFonts w:eastAsia="MS Mincho"/>
          <w:sz w:val="22"/>
          <w:szCs w:val="22"/>
          <w:lang w:eastAsia="ja-JP"/>
        </w:rPr>
      </w:r>
      <w:r>
        <w:rPr>
          <w:rFonts w:eastAsia="MS Mincho"/>
          <w:sz w:val="22"/>
          <w:szCs w:val="22"/>
          <w:lang w:eastAsia="ja-JP"/>
        </w:rPr>
        <w:fldChar w:fldCharType="separate"/>
      </w:r>
      <w:r w:rsidR="0053402D">
        <w:rPr>
          <w:rFonts w:eastAsia="MS Mincho"/>
          <w:sz w:val="22"/>
          <w:szCs w:val="22"/>
          <w:lang w:eastAsia="ja-JP"/>
        </w:rPr>
        <w:t>[2]</w:t>
      </w:r>
      <w:r>
        <w:rPr>
          <w:rFonts w:eastAsia="MS Mincho"/>
          <w:sz w:val="22"/>
          <w:szCs w:val="22"/>
          <w:lang w:eastAsia="ja-JP"/>
        </w:rPr>
        <w:fldChar w:fldCharType="end"/>
      </w:r>
      <w:r>
        <w:rPr>
          <w:rFonts w:eastAsia="MS Mincho"/>
          <w:sz w:val="22"/>
          <w:szCs w:val="22"/>
          <w:lang w:eastAsia="ja-JP"/>
        </w:rPr>
        <w:t>:</w:t>
      </w:r>
    </w:p>
    <w:tbl>
      <w:tblPr>
        <w:tblStyle w:val="TableGrid"/>
        <w:tblW w:w="0" w:type="auto"/>
        <w:tblLook w:val="04A0" w:firstRow="1" w:lastRow="0" w:firstColumn="1" w:lastColumn="0" w:noHBand="0" w:noVBand="1"/>
      </w:tblPr>
      <w:tblGrid>
        <w:gridCol w:w="9629"/>
      </w:tblGrid>
      <w:tr w:rsidR="008B6813" w14:paraId="246E95A5" w14:textId="77777777" w:rsidTr="008B6813">
        <w:tc>
          <w:tcPr>
            <w:tcW w:w="9629" w:type="dxa"/>
          </w:tcPr>
          <w:p w14:paraId="416FB24F" w14:textId="77777777" w:rsidR="008B6813" w:rsidRPr="008B6813" w:rsidRDefault="008B6813" w:rsidP="008B6813">
            <w:pPr>
              <w:numPr>
                <w:ilvl w:val="0"/>
                <w:numId w:val="22"/>
              </w:numPr>
              <w:overflowPunct w:val="0"/>
              <w:autoSpaceDE w:val="0"/>
              <w:autoSpaceDN w:val="0"/>
              <w:adjustRightInd w:val="0"/>
              <w:textAlignment w:val="baseline"/>
              <w:rPr>
                <w:bCs/>
                <w:i/>
                <w:sz w:val="22"/>
              </w:rPr>
            </w:pPr>
            <w:r w:rsidRPr="008B6813">
              <w:rPr>
                <w:bCs/>
                <w:i/>
                <w:sz w:val="22"/>
              </w:rPr>
              <w:t>Support of asynchronous and synchronous NR-NR Dual Connectivity [RAN1, RAN2, RAN4]</w:t>
            </w:r>
          </w:p>
          <w:p w14:paraId="75185298" w14:textId="77777777" w:rsidR="008B6813" w:rsidRPr="008B6813" w:rsidRDefault="008B6813" w:rsidP="008B6813">
            <w:pPr>
              <w:numPr>
                <w:ilvl w:val="1"/>
                <w:numId w:val="22"/>
              </w:numPr>
              <w:overflowPunct w:val="0"/>
              <w:autoSpaceDE w:val="0"/>
              <w:autoSpaceDN w:val="0"/>
              <w:adjustRightInd w:val="0"/>
              <w:textAlignment w:val="baseline"/>
              <w:rPr>
                <w:bCs/>
                <w:i/>
                <w:sz w:val="22"/>
              </w:rPr>
            </w:pPr>
            <w:r w:rsidRPr="008B6813">
              <w:rPr>
                <w:bCs/>
                <w:i/>
                <w:sz w:val="22"/>
              </w:rPr>
              <w:t>UE power control [RAN1]</w:t>
            </w:r>
          </w:p>
          <w:p w14:paraId="41257F83" w14:textId="77777777" w:rsidR="008B6813" w:rsidRPr="008B6813" w:rsidRDefault="008B6813" w:rsidP="008B6813">
            <w:pPr>
              <w:numPr>
                <w:ilvl w:val="1"/>
                <w:numId w:val="22"/>
              </w:numPr>
              <w:overflowPunct w:val="0"/>
              <w:autoSpaceDE w:val="0"/>
              <w:autoSpaceDN w:val="0"/>
              <w:adjustRightInd w:val="0"/>
              <w:textAlignment w:val="baseline"/>
              <w:rPr>
                <w:bCs/>
                <w:i/>
                <w:sz w:val="22"/>
              </w:rPr>
            </w:pPr>
            <w:r w:rsidRPr="008B6813">
              <w:rPr>
                <w:bCs/>
                <w:i/>
                <w:sz w:val="22"/>
              </w:rPr>
              <w:t xml:space="preserve">RRC </w:t>
            </w:r>
            <w:proofErr w:type="spellStart"/>
            <w:r w:rsidRPr="008B6813">
              <w:rPr>
                <w:bCs/>
                <w:i/>
                <w:sz w:val="22"/>
              </w:rPr>
              <w:t>signalling</w:t>
            </w:r>
            <w:proofErr w:type="spellEnd"/>
            <w:r w:rsidRPr="008B6813">
              <w:rPr>
                <w:bCs/>
                <w:i/>
                <w:sz w:val="22"/>
              </w:rPr>
              <w:t xml:space="preserve"> to support of enhanced NR-NR DC [RAN2]</w:t>
            </w:r>
          </w:p>
          <w:p w14:paraId="5699ACD0" w14:textId="77777777" w:rsidR="008B6813" w:rsidRPr="008B6813" w:rsidRDefault="008B6813" w:rsidP="008B6813">
            <w:pPr>
              <w:numPr>
                <w:ilvl w:val="1"/>
                <w:numId w:val="22"/>
              </w:numPr>
              <w:overflowPunct w:val="0"/>
              <w:autoSpaceDE w:val="0"/>
              <w:autoSpaceDN w:val="0"/>
              <w:adjustRightInd w:val="0"/>
              <w:textAlignment w:val="baseline"/>
              <w:rPr>
                <w:bCs/>
                <w:i/>
                <w:sz w:val="22"/>
              </w:rPr>
            </w:pPr>
            <w:r w:rsidRPr="008B6813">
              <w:rPr>
                <w:bCs/>
                <w:i/>
                <w:sz w:val="22"/>
              </w:rPr>
              <w:t>Core requirements to support enhanced NR-NR DC [RAN4]</w:t>
            </w:r>
          </w:p>
          <w:p w14:paraId="242B1919" w14:textId="05AC4831" w:rsidR="008B6813" w:rsidRPr="008B6813" w:rsidRDefault="008B6813" w:rsidP="008B6813">
            <w:pPr>
              <w:ind w:left="360"/>
              <w:rPr>
                <w:bCs/>
                <w:i/>
              </w:rPr>
            </w:pPr>
            <w:r w:rsidRPr="008B6813">
              <w:rPr>
                <w:bCs/>
                <w:i/>
                <w:sz w:val="22"/>
              </w:rPr>
              <w:t xml:space="preserve">Note: Synchronous DC enhancements in this WID considers only cases not covered in Rel-15 exception sheet for NR WI </w:t>
            </w:r>
            <w:proofErr w:type="spellStart"/>
            <w:r w:rsidRPr="008B6813">
              <w:rPr>
                <w:bCs/>
                <w:i/>
                <w:sz w:val="22"/>
              </w:rPr>
              <w:t>NR_newRAT</w:t>
            </w:r>
            <w:proofErr w:type="spellEnd"/>
            <w:r w:rsidRPr="008B6813">
              <w:rPr>
                <w:bCs/>
                <w:i/>
                <w:sz w:val="22"/>
              </w:rPr>
              <w:t>-Core</w:t>
            </w:r>
            <w:r w:rsidRPr="00744CE6">
              <w:rPr>
                <w:bCs/>
                <w:i/>
              </w:rPr>
              <w:t xml:space="preserve">. </w:t>
            </w:r>
          </w:p>
        </w:tc>
      </w:tr>
    </w:tbl>
    <w:p w14:paraId="433E6FE3" w14:textId="77777777" w:rsidR="008B6813" w:rsidRDefault="008B6813" w:rsidP="008B6813">
      <w:pPr>
        <w:jc w:val="both"/>
        <w:rPr>
          <w:rFonts w:eastAsia="MS Mincho"/>
          <w:sz w:val="22"/>
          <w:szCs w:val="22"/>
          <w:lang w:eastAsia="ja-JP"/>
        </w:rPr>
      </w:pPr>
    </w:p>
    <w:p w14:paraId="33B2DEF0" w14:textId="77777777" w:rsidR="008B6813" w:rsidRDefault="008B6813" w:rsidP="00487A13">
      <w:pPr>
        <w:jc w:val="both"/>
        <w:rPr>
          <w:sz w:val="22"/>
          <w:szCs w:val="22"/>
        </w:rPr>
      </w:pPr>
    </w:p>
    <w:p w14:paraId="536F6905" w14:textId="5BF45550" w:rsidR="008B6813" w:rsidRDefault="001E3062" w:rsidP="00487A13">
      <w:pPr>
        <w:jc w:val="both"/>
        <w:rPr>
          <w:sz w:val="22"/>
          <w:szCs w:val="22"/>
        </w:rPr>
      </w:pPr>
      <w:r>
        <w:rPr>
          <w:sz w:val="22"/>
          <w:szCs w:val="22"/>
        </w:rPr>
        <w:t xml:space="preserve">In release 15, the NN-DC power control considers the synchronous scenario where the two cell groups are in different frequency ranges. Since there is no joint power limit defined for FR1+FR2, the power control </w:t>
      </w:r>
      <w:proofErr w:type="gramStart"/>
      <w:r>
        <w:rPr>
          <w:sz w:val="22"/>
          <w:szCs w:val="22"/>
        </w:rPr>
        <w:t>are</w:t>
      </w:r>
      <w:proofErr w:type="gramEnd"/>
      <w:r>
        <w:rPr>
          <w:sz w:val="22"/>
          <w:szCs w:val="22"/>
        </w:rPr>
        <w:t xml:space="preserve"> done independently across cell groups. In </w:t>
      </w:r>
      <w:r w:rsidR="008B6813">
        <w:rPr>
          <w:sz w:val="22"/>
          <w:szCs w:val="22"/>
        </w:rPr>
        <w:t>R</w:t>
      </w:r>
      <w:r>
        <w:rPr>
          <w:sz w:val="22"/>
          <w:szCs w:val="22"/>
        </w:rPr>
        <w:t xml:space="preserve">AN1 Ad-Hoc #1901, similar conclusions were drawn </w:t>
      </w:r>
      <w:r w:rsidR="009D0B59">
        <w:rPr>
          <w:sz w:val="22"/>
          <w:szCs w:val="22"/>
        </w:rPr>
        <w:fldChar w:fldCharType="begin"/>
      </w:r>
      <w:r w:rsidR="009D0B59">
        <w:rPr>
          <w:sz w:val="22"/>
          <w:szCs w:val="22"/>
        </w:rPr>
        <w:instrText xml:space="preserve"> REF _Ref1123521 \n \h </w:instrText>
      </w:r>
      <w:r w:rsidR="009D0B59">
        <w:rPr>
          <w:sz w:val="22"/>
          <w:szCs w:val="22"/>
        </w:rPr>
      </w:r>
      <w:r w:rsidR="009D0B59">
        <w:rPr>
          <w:sz w:val="22"/>
          <w:szCs w:val="22"/>
        </w:rPr>
        <w:fldChar w:fldCharType="separate"/>
      </w:r>
      <w:r w:rsidR="0053402D">
        <w:rPr>
          <w:sz w:val="22"/>
          <w:szCs w:val="22"/>
        </w:rPr>
        <w:t>[3]</w:t>
      </w:r>
      <w:r w:rsidR="009D0B59">
        <w:rPr>
          <w:sz w:val="22"/>
          <w:szCs w:val="22"/>
        </w:rPr>
        <w:fldChar w:fldCharType="end"/>
      </w:r>
      <w:r w:rsidR="009D0B59">
        <w:rPr>
          <w:sz w:val="22"/>
          <w:szCs w:val="22"/>
        </w:rPr>
        <w:t xml:space="preserve"> </w:t>
      </w:r>
      <w:r>
        <w:rPr>
          <w:sz w:val="22"/>
          <w:szCs w:val="22"/>
        </w:rPr>
        <w:t>for the asynchronous NN-DC operations where different cell groups are in different frequency ranges, due to similar argument:</w:t>
      </w:r>
    </w:p>
    <w:tbl>
      <w:tblPr>
        <w:tblStyle w:val="TableGrid"/>
        <w:tblW w:w="0" w:type="auto"/>
        <w:tblLook w:val="04A0" w:firstRow="1" w:lastRow="0" w:firstColumn="1" w:lastColumn="0" w:noHBand="0" w:noVBand="1"/>
      </w:tblPr>
      <w:tblGrid>
        <w:gridCol w:w="9629"/>
      </w:tblGrid>
      <w:tr w:rsidR="001E3062" w14:paraId="0ABB27F2" w14:textId="77777777" w:rsidTr="001E3062">
        <w:tc>
          <w:tcPr>
            <w:tcW w:w="9629" w:type="dxa"/>
          </w:tcPr>
          <w:p w14:paraId="3221A41E" w14:textId="77777777" w:rsidR="001E3062" w:rsidRPr="001E3062" w:rsidRDefault="001E3062" w:rsidP="001E3062">
            <w:pPr>
              <w:rPr>
                <w:sz w:val="22"/>
                <w:szCs w:val="20"/>
                <w:lang w:eastAsia="x-none"/>
              </w:rPr>
            </w:pPr>
            <w:r w:rsidRPr="001E3062">
              <w:rPr>
                <w:sz w:val="22"/>
                <w:szCs w:val="20"/>
                <w:highlight w:val="green"/>
                <w:lang w:eastAsia="x-none"/>
              </w:rPr>
              <w:t>Agreements</w:t>
            </w:r>
            <w:r w:rsidRPr="001E3062">
              <w:rPr>
                <w:sz w:val="22"/>
                <w:szCs w:val="20"/>
                <w:lang w:eastAsia="x-none"/>
              </w:rPr>
              <w:t>:</w:t>
            </w:r>
          </w:p>
          <w:p w14:paraId="4FA1EDB6" w14:textId="77777777" w:rsidR="001E3062" w:rsidRPr="001E3062" w:rsidRDefault="001E3062" w:rsidP="001E3062">
            <w:pPr>
              <w:numPr>
                <w:ilvl w:val="0"/>
                <w:numId w:val="32"/>
              </w:numPr>
              <w:rPr>
                <w:sz w:val="22"/>
                <w:szCs w:val="20"/>
              </w:rPr>
            </w:pPr>
            <w:r w:rsidRPr="001E3062">
              <w:rPr>
                <w:sz w:val="22"/>
                <w:szCs w:val="20"/>
              </w:rPr>
              <w:t>For Rel. 16 UEs and asynchronous NN-DC operation, where MCG has serving cells only in FR1 and the SCG has serving cells only in FR2, the uplink power control is performed independently across cell groups</w:t>
            </w:r>
          </w:p>
          <w:p w14:paraId="12293EA7" w14:textId="77777777" w:rsidR="001E3062" w:rsidRPr="001E3062" w:rsidRDefault="001E3062" w:rsidP="001E3062">
            <w:pPr>
              <w:numPr>
                <w:ilvl w:val="1"/>
                <w:numId w:val="32"/>
              </w:numPr>
              <w:rPr>
                <w:sz w:val="22"/>
                <w:szCs w:val="20"/>
              </w:rPr>
            </w:pPr>
            <w:r w:rsidRPr="001E3062">
              <w:rPr>
                <w:sz w:val="22"/>
                <w:szCs w:val="20"/>
              </w:rPr>
              <w:t>This is under the assumption that for NR Rel. 16, no joint power limit across FR1 and FR2 is defined by RAN4.</w:t>
            </w:r>
          </w:p>
          <w:p w14:paraId="5FEF65A7" w14:textId="77777777" w:rsidR="001E3062" w:rsidRDefault="001E3062" w:rsidP="001E3062">
            <w:pPr>
              <w:numPr>
                <w:ilvl w:val="0"/>
                <w:numId w:val="32"/>
              </w:numPr>
              <w:rPr>
                <w:sz w:val="22"/>
                <w:szCs w:val="20"/>
              </w:rPr>
            </w:pPr>
            <w:r w:rsidRPr="001E3062">
              <w:rPr>
                <w:sz w:val="22"/>
                <w:szCs w:val="20"/>
              </w:rPr>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35DD6D69" w14:textId="4C8686D5" w:rsidR="001E3062" w:rsidRPr="001E3062" w:rsidRDefault="001E3062" w:rsidP="001E3062">
            <w:pPr>
              <w:numPr>
                <w:ilvl w:val="1"/>
                <w:numId w:val="32"/>
              </w:numPr>
              <w:rPr>
                <w:sz w:val="22"/>
                <w:szCs w:val="20"/>
              </w:rPr>
            </w:pPr>
            <w:r w:rsidRPr="001E3062">
              <w:rPr>
                <w:sz w:val="22"/>
                <w:szCs w:val="20"/>
              </w:rPr>
              <w:t>If supported, power control is performed independently across the two cell groups.</w:t>
            </w:r>
          </w:p>
        </w:tc>
      </w:tr>
    </w:tbl>
    <w:p w14:paraId="2FD321EE" w14:textId="77777777" w:rsidR="001E3062" w:rsidRDefault="001E3062" w:rsidP="00487A13">
      <w:pPr>
        <w:jc w:val="both"/>
        <w:rPr>
          <w:sz w:val="22"/>
          <w:szCs w:val="22"/>
        </w:rPr>
      </w:pPr>
    </w:p>
    <w:p w14:paraId="1FC79A32" w14:textId="70250328" w:rsidR="008B6813" w:rsidRDefault="00C55B4F" w:rsidP="00487A13">
      <w:pPr>
        <w:jc w:val="both"/>
        <w:rPr>
          <w:sz w:val="22"/>
          <w:szCs w:val="22"/>
        </w:rPr>
      </w:pPr>
      <w:r>
        <w:rPr>
          <w:sz w:val="22"/>
          <w:szCs w:val="22"/>
        </w:rPr>
        <w:t xml:space="preserve">However, the power control for NN-DC where cell groups are from the same frequency range remains open, where the main constraint is the total power limit within the same frequency range. </w:t>
      </w:r>
    </w:p>
    <w:p w14:paraId="56F70BFE" w14:textId="5E93EFDB" w:rsidR="00C55B4F" w:rsidRDefault="00C55B4F" w:rsidP="00487A13">
      <w:pPr>
        <w:jc w:val="both"/>
        <w:rPr>
          <w:sz w:val="22"/>
          <w:szCs w:val="22"/>
        </w:rPr>
      </w:pPr>
    </w:p>
    <w:p w14:paraId="6C658391" w14:textId="3B7E7FAF" w:rsidR="00C55B4F" w:rsidRDefault="00C55B4F" w:rsidP="00487A13">
      <w:pPr>
        <w:jc w:val="both"/>
        <w:rPr>
          <w:sz w:val="22"/>
          <w:szCs w:val="22"/>
        </w:rPr>
      </w:pPr>
      <w:r>
        <w:rPr>
          <w:sz w:val="22"/>
          <w:szCs w:val="22"/>
        </w:rPr>
        <w:t>In this contribution, we briefly discuss a few open questions and the corresponding design considerations.</w:t>
      </w:r>
    </w:p>
    <w:p w14:paraId="282DD09D" w14:textId="348AF09E" w:rsidR="008B6813" w:rsidRDefault="008B6813" w:rsidP="008B6813">
      <w:pPr>
        <w:pStyle w:val="Heading1"/>
      </w:pPr>
      <w:bookmarkStart w:id="2" w:name="_Ref1151272"/>
      <w:r>
        <w:t>R16 NN-DC Open issues</w:t>
      </w:r>
      <w:bookmarkEnd w:id="2"/>
    </w:p>
    <w:p w14:paraId="513D9B10" w14:textId="29BB8B15" w:rsidR="008B6813" w:rsidRDefault="009D0B59" w:rsidP="00C55B4F">
      <w:pPr>
        <w:jc w:val="both"/>
        <w:rPr>
          <w:lang w:val="en-GB"/>
        </w:rPr>
      </w:pPr>
      <w:r>
        <w:rPr>
          <w:lang w:val="en-GB"/>
        </w:rPr>
        <w:t>In general, t</w:t>
      </w:r>
      <w:r w:rsidR="00C55B4F">
        <w:rPr>
          <w:lang w:val="en-GB"/>
        </w:rPr>
        <w:t>he release 15 NSA power control design is driven by a few principles</w:t>
      </w:r>
      <w:r>
        <w:rPr>
          <w:lang w:val="en-GB"/>
        </w:rPr>
        <w:t>:</w:t>
      </w:r>
    </w:p>
    <w:p w14:paraId="68A127D0" w14:textId="08CD553E" w:rsidR="00C55B4F" w:rsidRDefault="00C55B4F" w:rsidP="00C55B4F">
      <w:pPr>
        <w:pStyle w:val="ListParagraph"/>
        <w:numPr>
          <w:ilvl w:val="0"/>
          <w:numId w:val="33"/>
        </w:numPr>
        <w:jc w:val="both"/>
        <w:rPr>
          <w:lang w:val="en-GB"/>
        </w:rPr>
      </w:pPr>
      <w:r>
        <w:rPr>
          <w:lang w:val="en-GB"/>
        </w:rPr>
        <w:lastRenderedPageBreak/>
        <w:t>LTE modem typically has slower processing timeline, and can’t adjust transmission power as fast as NR. Therefore, in case the total power limit is exceeded in a slot with simultaneous NR &amp; LTE transmission, it is always NR to be scaled down or dropped.</w:t>
      </w:r>
    </w:p>
    <w:p w14:paraId="484BD6D5" w14:textId="06178D61" w:rsidR="00A03A62" w:rsidRDefault="00534CF7" w:rsidP="00C55B4F">
      <w:pPr>
        <w:pStyle w:val="ListParagraph"/>
        <w:numPr>
          <w:ilvl w:val="0"/>
          <w:numId w:val="33"/>
        </w:numPr>
        <w:jc w:val="both"/>
        <w:rPr>
          <w:lang w:val="en-GB"/>
        </w:rPr>
      </w:pPr>
      <w:r>
        <w:rPr>
          <w:lang w:val="en-GB"/>
        </w:rPr>
        <w:t xml:space="preserve">Depending on modem implementation and capability, there may not be fast communication between the two modems (i.e. not capable of dynamic power sharing). In this case, the UE is either configured with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max,LTE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max, NR</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max,total</m:t>
            </m:r>
          </m:sub>
        </m:sSub>
      </m:oMath>
      <w:r>
        <w:rPr>
          <w:lang w:val="en-GB"/>
        </w:rPr>
        <w:t xml:space="preserve">, or configured with SUO case1 where UL transmissions are </w:t>
      </w:r>
      <w:proofErr w:type="spellStart"/>
      <w:r>
        <w:rPr>
          <w:lang w:val="en-GB"/>
        </w:rPr>
        <w:t>TDM’ed</w:t>
      </w:r>
      <w:proofErr w:type="spellEnd"/>
      <w:r>
        <w:rPr>
          <w:lang w:val="en-GB"/>
        </w:rPr>
        <w:t>.</w:t>
      </w:r>
    </w:p>
    <w:p w14:paraId="50976621" w14:textId="77777777" w:rsidR="00534CF7" w:rsidRPr="00534CF7" w:rsidRDefault="00534CF7" w:rsidP="00534CF7">
      <w:pPr>
        <w:ind w:left="360"/>
        <w:jc w:val="both"/>
        <w:rPr>
          <w:lang w:val="en-GB"/>
        </w:rPr>
      </w:pPr>
    </w:p>
    <w:p w14:paraId="5EB1BAC6" w14:textId="08C72A49" w:rsidR="008B6813" w:rsidRDefault="00534CF7" w:rsidP="008B6813">
      <w:pPr>
        <w:rPr>
          <w:lang w:val="en-GB"/>
        </w:rPr>
      </w:pPr>
      <w:r>
        <w:rPr>
          <w:lang w:val="en-GB"/>
        </w:rPr>
        <w:t>For NN-DC power sharing, however, some of the design limitations may be different</w:t>
      </w:r>
    </w:p>
    <w:p w14:paraId="668B7441" w14:textId="1181AE18" w:rsidR="00534CF7" w:rsidRDefault="00534CF7" w:rsidP="00534CF7">
      <w:pPr>
        <w:pStyle w:val="ListParagraph"/>
        <w:numPr>
          <w:ilvl w:val="0"/>
          <w:numId w:val="33"/>
        </w:numPr>
        <w:jc w:val="both"/>
        <w:rPr>
          <w:lang w:val="en-GB"/>
        </w:rPr>
      </w:pPr>
      <w:r>
        <w:rPr>
          <w:lang w:val="en-GB"/>
        </w:rPr>
        <w:t xml:space="preserve">As both cell groups are processed by NR modem, the processing time is expected to be comparable among the two cell groups. The power scaling/dropping could potentially be more flexible, when simultaneous transmission of both cell groups is </w:t>
      </w:r>
      <w:r w:rsidR="009D0B59">
        <w:rPr>
          <w:lang w:val="en-GB"/>
        </w:rPr>
        <w:t>possible</w:t>
      </w:r>
      <w:r>
        <w:rPr>
          <w:lang w:val="en-GB"/>
        </w:rPr>
        <w:t>.</w:t>
      </w:r>
    </w:p>
    <w:p w14:paraId="343EE025" w14:textId="3700942E" w:rsidR="00534CF7" w:rsidRPr="00534CF7" w:rsidRDefault="00534CF7" w:rsidP="00534CF7">
      <w:pPr>
        <w:pStyle w:val="ListParagraph"/>
        <w:numPr>
          <w:ilvl w:val="0"/>
          <w:numId w:val="33"/>
        </w:numPr>
        <w:rPr>
          <w:lang w:val="en-GB"/>
        </w:rPr>
      </w:pPr>
      <w:r>
        <w:rPr>
          <w:lang w:val="en-GB"/>
        </w:rPr>
        <w:t>As both cell groups are processed by NR modem, the dynamic power sharing is generally feasible</w:t>
      </w:r>
      <w:r w:rsidR="009D0B59">
        <w:rPr>
          <w:lang w:val="en-GB"/>
        </w:rPr>
        <w:t xml:space="preserve">, </w:t>
      </w:r>
      <w:r>
        <w:rPr>
          <w:lang w:val="en-GB"/>
        </w:rPr>
        <w:t>when simultaneous dual transmission</w:t>
      </w:r>
      <w:r w:rsidR="009D0B59">
        <w:rPr>
          <w:lang w:val="en-GB"/>
        </w:rPr>
        <w:t xml:space="preserve"> of both cell groups is possible.</w:t>
      </w:r>
    </w:p>
    <w:p w14:paraId="1211818A" w14:textId="44A34BA5" w:rsidR="008B6813" w:rsidRDefault="008B6813" w:rsidP="008B6813">
      <w:pPr>
        <w:rPr>
          <w:lang w:val="en-GB"/>
        </w:rPr>
      </w:pPr>
    </w:p>
    <w:p w14:paraId="64AAF5E4" w14:textId="256B3541" w:rsidR="009D0B59" w:rsidRDefault="009D0B59" w:rsidP="008B6813">
      <w:pPr>
        <w:rPr>
          <w:lang w:val="en-GB"/>
        </w:rPr>
      </w:pPr>
      <w:r>
        <w:rPr>
          <w:lang w:val="en-GB"/>
        </w:rPr>
        <w:t xml:space="preserve">Under the above assumptions, we briefly discuss some of the open questions for NN-DC power control, as listed in </w:t>
      </w:r>
      <w:r>
        <w:rPr>
          <w:lang w:val="en-GB"/>
        </w:rPr>
        <w:fldChar w:fldCharType="begin"/>
      </w:r>
      <w:r>
        <w:rPr>
          <w:lang w:val="en-GB"/>
        </w:rPr>
        <w:instrText xml:space="preserve"> REF _Ref1148362 \n \h </w:instrText>
      </w:r>
      <w:r>
        <w:rPr>
          <w:lang w:val="en-GB"/>
        </w:rPr>
      </w:r>
      <w:r>
        <w:rPr>
          <w:lang w:val="en-GB"/>
        </w:rPr>
        <w:fldChar w:fldCharType="separate"/>
      </w:r>
      <w:r w:rsidR="0053402D">
        <w:rPr>
          <w:lang w:val="en-GB"/>
        </w:rPr>
        <w:t>[4]</w:t>
      </w:r>
      <w:r>
        <w:rPr>
          <w:lang w:val="en-GB"/>
        </w:rPr>
        <w:fldChar w:fldCharType="end"/>
      </w:r>
      <w:r>
        <w:rPr>
          <w:lang w:val="en-GB"/>
        </w:rPr>
        <w:t>.</w:t>
      </w:r>
    </w:p>
    <w:p w14:paraId="39F133A4" w14:textId="7556EE7F" w:rsidR="009D0B59" w:rsidRDefault="009D0B59" w:rsidP="008B6813">
      <w:pPr>
        <w:rPr>
          <w:lang w:val="en-GB"/>
        </w:rPr>
      </w:pPr>
    </w:p>
    <w:p w14:paraId="230868C3" w14:textId="16C5CA7F" w:rsidR="009D0B59" w:rsidRDefault="009D0B59" w:rsidP="009D0B59">
      <w:pPr>
        <w:pStyle w:val="Heading2"/>
        <w:rPr>
          <w:lang w:val="en-GB"/>
        </w:rPr>
      </w:pPr>
      <w:r>
        <w:rPr>
          <w:lang w:val="en-GB"/>
        </w:rPr>
        <w:t>Should uplink power control design for R-16 NN-DC consider a UE with a single PA?</w:t>
      </w:r>
    </w:p>
    <w:p w14:paraId="44CA5116" w14:textId="08F1842F" w:rsidR="00CB6D96" w:rsidRDefault="009D0B59" w:rsidP="00CB6D96">
      <w:pPr>
        <w:jc w:val="both"/>
        <w:rPr>
          <w:lang w:val="en-GB" w:eastAsia="ja-JP" w:bidi="hi-IN"/>
        </w:rPr>
      </w:pPr>
      <w:r>
        <w:rPr>
          <w:lang w:val="en-GB" w:eastAsia="ja-JP" w:bidi="hi-IN"/>
        </w:rPr>
        <w:t xml:space="preserve">NR network is expected to enable a large ecosystem, covering wide range of </w:t>
      </w:r>
      <w:r w:rsidR="00B76781">
        <w:rPr>
          <w:lang w:val="en-GB" w:eastAsia="ja-JP" w:bidi="hi-IN"/>
        </w:rPr>
        <w:t xml:space="preserve">device types as well as various combinations of spectrum bands. Depending on the band combinations as well as device types, it is expected some devices only supports “single PA”, or more precisely, </w:t>
      </w:r>
      <w:r w:rsidR="004942A6">
        <w:rPr>
          <w:lang w:val="en-GB" w:eastAsia="ja-JP" w:bidi="hi-IN"/>
        </w:rPr>
        <w:t>may</w:t>
      </w:r>
      <w:r w:rsidR="00B76781">
        <w:rPr>
          <w:lang w:val="en-GB" w:eastAsia="ja-JP" w:bidi="hi-IN"/>
        </w:rPr>
        <w:t xml:space="preserve"> not support simultaneous transmissions over both cell groups. </w:t>
      </w:r>
    </w:p>
    <w:p w14:paraId="241513BA" w14:textId="77777777" w:rsidR="00CB6D96" w:rsidRDefault="00CB6D96" w:rsidP="00CB6D96">
      <w:pPr>
        <w:jc w:val="both"/>
        <w:rPr>
          <w:lang w:val="en-GB" w:eastAsia="ja-JP" w:bidi="hi-IN"/>
        </w:rPr>
      </w:pPr>
    </w:p>
    <w:p w14:paraId="3CF631FE" w14:textId="787AF216" w:rsidR="009D0B59" w:rsidRPr="004942A6" w:rsidRDefault="00B76781" w:rsidP="00B76781">
      <w:pPr>
        <w:jc w:val="both"/>
        <w:rPr>
          <w:rFonts w:ascii="SimSun" w:eastAsia="SimSun" w:hAnsi="SimSun" w:cs="SimSun"/>
          <w:lang w:eastAsia="zh-CN" w:bidi="hi-IN"/>
        </w:rPr>
      </w:pPr>
      <w:r>
        <w:rPr>
          <w:lang w:val="en-GB" w:eastAsia="ja-JP" w:bidi="hi-IN"/>
        </w:rPr>
        <w:t>In addition, RAN4 has already agreed to the possibility of single PA implementation</w:t>
      </w:r>
      <w:r w:rsidR="00CB6D96">
        <w:rPr>
          <w:lang w:val="en-GB" w:eastAsia="ja-JP" w:bidi="hi-IN"/>
        </w:rPr>
        <w:t xml:space="preserve"> in some scenarios. For example, single PA is allowed in intra-band EN-DC in B4</w:t>
      </w:r>
      <w:r w:rsidR="0053402D">
        <w:rPr>
          <w:lang w:val="en-GB" w:eastAsia="ja-JP" w:bidi="hi-IN"/>
        </w:rPr>
        <w:t xml:space="preserve">1 </w:t>
      </w:r>
      <w:r w:rsidR="0053402D">
        <w:rPr>
          <w:lang w:val="en-GB" w:eastAsia="ja-JP" w:bidi="hi-IN"/>
        </w:rPr>
        <w:fldChar w:fldCharType="begin"/>
      </w:r>
      <w:r w:rsidR="0053402D">
        <w:rPr>
          <w:lang w:val="en-GB" w:eastAsia="ja-JP" w:bidi="hi-IN"/>
        </w:rPr>
        <w:instrText xml:space="preserve"> REF _Ref1153510 \n \h </w:instrText>
      </w:r>
      <w:r w:rsidR="0053402D">
        <w:rPr>
          <w:lang w:val="en-GB" w:eastAsia="ja-JP" w:bidi="hi-IN"/>
        </w:rPr>
      </w:r>
      <w:r w:rsidR="0053402D">
        <w:rPr>
          <w:lang w:val="en-GB" w:eastAsia="ja-JP" w:bidi="hi-IN"/>
        </w:rPr>
        <w:fldChar w:fldCharType="separate"/>
      </w:r>
      <w:r w:rsidR="0053402D">
        <w:rPr>
          <w:lang w:val="en-GB" w:eastAsia="ja-JP" w:bidi="hi-IN"/>
        </w:rPr>
        <w:t>[5]</w:t>
      </w:r>
      <w:r w:rsidR="0053402D">
        <w:rPr>
          <w:lang w:val="en-GB" w:eastAsia="ja-JP" w:bidi="hi-IN"/>
        </w:rPr>
        <w:fldChar w:fldCharType="end"/>
      </w:r>
      <w:bookmarkStart w:id="3" w:name="_GoBack"/>
      <w:bookmarkEnd w:id="3"/>
      <w:r w:rsidR="004942A6">
        <w:rPr>
          <w:lang w:val="en-GB" w:eastAsia="ja-JP" w:bidi="hi-IN"/>
        </w:rPr>
        <w:t xml:space="preserve">. In addition, a one-bit per band per band combination UE capability signalling is introduced </w:t>
      </w:r>
      <w:r w:rsidR="00A5616A">
        <w:rPr>
          <w:lang w:val="en-GB" w:eastAsia="ja-JP" w:bidi="hi-IN"/>
        </w:rPr>
        <w:fldChar w:fldCharType="begin"/>
      </w:r>
      <w:r w:rsidR="00A5616A">
        <w:rPr>
          <w:lang w:val="en-GB" w:eastAsia="ja-JP" w:bidi="hi-IN"/>
        </w:rPr>
        <w:instrText xml:space="preserve"> REF _Ref1153135 \n \h </w:instrText>
      </w:r>
      <w:r w:rsidR="00A5616A">
        <w:rPr>
          <w:lang w:val="en-GB" w:eastAsia="ja-JP" w:bidi="hi-IN"/>
        </w:rPr>
      </w:r>
      <w:r w:rsidR="00A5616A">
        <w:rPr>
          <w:lang w:val="en-GB" w:eastAsia="ja-JP" w:bidi="hi-IN"/>
        </w:rPr>
        <w:fldChar w:fldCharType="separate"/>
      </w:r>
      <w:r w:rsidR="0053402D">
        <w:rPr>
          <w:lang w:val="en-GB" w:eastAsia="ja-JP" w:bidi="hi-IN"/>
        </w:rPr>
        <w:t>[6]</w:t>
      </w:r>
      <w:r w:rsidR="00A5616A">
        <w:rPr>
          <w:lang w:val="en-GB" w:eastAsia="ja-JP" w:bidi="hi-IN"/>
        </w:rPr>
        <w:fldChar w:fldCharType="end"/>
      </w:r>
      <w:r w:rsidR="00A5616A">
        <w:rPr>
          <w:lang w:val="en-GB" w:eastAsia="ja-JP" w:bidi="hi-IN"/>
        </w:rPr>
        <w:t xml:space="preserve"> </w:t>
      </w:r>
      <w:r w:rsidR="004942A6">
        <w:rPr>
          <w:lang w:val="en-GB" w:eastAsia="ja-JP" w:bidi="hi-IN"/>
        </w:rPr>
        <w:t>to allow NR UE to report whether it supports single PA or dual PA architecture for intra-band EN-DC, intra-band UL CA, and FDM-based ULSUP.</w:t>
      </w:r>
      <w:r w:rsidR="004942A6">
        <w:rPr>
          <w:rFonts w:ascii="SimSun" w:eastAsia="SimSun" w:hAnsi="SimSun" w:cs="SimSun"/>
          <w:lang w:eastAsia="zh-CN" w:bidi="hi-IN"/>
        </w:rPr>
        <w:t xml:space="preserve"> </w:t>
      </w:r>
      <w:r>
        <w:rPr>
          <w:lang w:val="en-GB" w:eastAsia="ja-JP" w:bidi="hi-IN"/>
        </w:rPr>
        <w:t xml:space="preserve">In this sense, uplink power control should consider such UE from </w:t>
      </w:r>
      <w:r w:rsidR="004942A6">
        <w:rPr>
          <w:lang w:val="en-GB" w:eastAsia="ja-JP" w:bidi="hi-IN"/>
        </w:rPr>
        <w:t xml:space="preserve">a </w:t>
      </w:r>
      <w:r>
        <w:rPr>
          <w:lang w:val="en-GB" w:eastAsia="ja-JP" w:bidi="hi-IN"/>
        </w:rPr>
        <w:t xml:space="preserve">design perspective. </w:t>
      </w:r>
    </w:p>
    <w:p w14:paraId="56E95B45" w14:textId="515F4D51" w:rsidR="00B76781" w:rsidRDefault="00B76781" w:rsidP="00B76781">
      <w:pPr>
        <w:jc w:val="both"/>
        <w:rPr>
          <w:lang w:val="en-GB" w:eastAsia="ja-JP" w:bidi="hi-IN"/>
        </w:rPr>
      </w:pPr>
    </w:p>
    <w:p w14:paraId="502601CE" w14:textId="602CD3B2" w:rsidR="00B76781" w:rsidRDefault="00B76781" w:rsidP="00B76781">
      <w:pPr>
        <w:jc w:val="both"/>
        <w:rPr>
          <w:lang w:val="en-GB" w:eastAsia="ja-JP" w:bidi="hi-IN"/>
        </w:rPr>
      </w:pPr>
      <w:r>
        <w:rPr>
          <w:lang w:val="en-GB" w:eastAsia="ja-JP" w:bidi="hi-IN"/>
        </w:rPr>
        <w:t xml:space="preserve">On the other hand, the handling of such UE in NN-DC operation could be much simpler than in EN-DC or NE-DC operations where </w:t>
      </w:r>
      <w:r w:rsidR="004942A6">
        <w:rPr>
          <w:lang w:val="en-GB" w:eastAsia="ja-JP" w:bidi="hi-IN"/>
        </w:rPr>
        <w:t>major</w:t>
      </w:r>
      <w:r>
        <w:rPr>
          <w:lang w:val="en-GB" w:eastAsia="ja-JP" w:bidi="hi-IN"/>
        </w:rPr>
        <w:t xml:space="preserve"> limitation </w:t>
      </w:r>
      <w:r w:rsidR="004942A6">
        <w:rPr>
          <w:lang w:val="en-GB" w:eastAsia="ja-JP" w:bidi="hi-IN"/>
        </w:rPr>
        <w:t>is</w:t>
      </w:r>
      <w:r>
        <w:rPr>
          <w:lang w:val="en-GB" w:eastAsia="ja-JP" w:bidi="hi-IN"/>
        </w:rPr>
        <w:t xml:space="preserve"> due to handling of LTE cell group.</w:t>
      </w:r>
      <w:r w:rsidR="004942A6">
        <w:rPr>
          <w:lang w:val="en-GB" w:eastAsia="ja-JP" w:bidi="hi-IN"/>
        </w:rPr>
        <w:t xml:space="preserve"> For example, there is no need of SUO case 1 (i.e. configure LTE </w:t>
      </w:r>
      <w:proofErr w:type="spellStart"/>
      <w:r w:rsidR="004942A6">
        <w:rPr>
          <w:lang w:val="en-GB" w:eastAsia="ja-JP" w:bidi="hi-IN"/>
        </w:rPr>
        <w:t>PCell</w:t>
      </w:r>
      <w:proofErr w:type="spellEnd"/>
      <w:r w:rsidR="004942A6">
        <w:rPr>
          <w:lang w:val="en-GB" w:eastAsia="ja-JP" w:bidi="hi-IN"/>
        </w:rPr>
        <w:t xml:space="preserve"> with reference DL/UL config) even if TDM is needed between the UL transmissions of the two cell groups, as NR allows flexible HARQ timing by nature. This means, in most cases, the TDM of two uplinks can simply be achieved through the network </w:t>
      </w:r>
      <w:r w:rsidR="0034554B">
        <w:rPr>
          <w:lang w:val="en-GB" w:eastAsia="ja-JP" w:bidi="hi-IN"/>
        </w:rPr>
        <w:t>scheduling. However, depending on whether there is tight-coupling between the two schedulers (corresponding to the two cell groups, respectively) at network side, network may need to negotiate a semi-static TDM patterns between the two schedulers</w:t>
      </w:r>
      <w:r w:rsidR="00C072AE">
        <w:rPr>
          <w:lang w:val="en-GB" w:eastAsia="ja-JP" w:bidi="hi-IN"/>
        </w:rPr>
        <w:t>, which can still be transparent to the UE.</w:t>
      </w:r>
    </w:p>
    <w:p w14:paraId="317B86F8" w14:textId="6AF5AEEF" w:rsidR="0034554B" w:rsidRDefault="0034554B" w:rsidP="00B76781">
      <w:pPr>
        <w:jc w:val="both"/>
        <w:rPr>
          <w:lang w:val="en-GB" w:eastAsia="ja-JP" w:bidi="hi-IN"/>
        </w:rPr>
      </w:pPr>
    </w:p>
    <w:p w14:paraId="6E44F4AB" w14:textId="707B4295" w:rsidR="0034554B" w:rsidRPr="00C072AE" w:rsidRDefault="0034554B" w:rsidP="00B76781">
      <w:pPr>
        <w:jc w:val="both"/>
        <w:rPr>
          <w:b/>
          <w:i/>
          <w:lang w:val="en-GB" w:eastAsia="ja-JP" w:bidi="hi-IN"/>
        </w:rPr>
      </w:pPr>
      <w:r w:rsidRPr="00C072AE">
        <w:rPr>
          <w:b/>
          <w:i/>
          <w:u w:val="single"/>
          <w:lang w:val="en-GB" w:eastAsia="ja-JP" w:bidi="hi-IN"/>
        </w:rPr>
        <w:t>Observation 1</w:t>
      </w:r>
      <w:r w:rsidRPr="00C072AE">
        <w:rPr>
          <w:b/>
          <w:i/>
          <w:lang w:val="en-GB" w:eastAsia="ja-JP" w:bidi="hi-IN"/>
        </w:rPr>
        <w:t>: single PA architecture is already supported by specification in certain cases, and should be considered in NN-DC power control from design perspective</w:t>
      </w:r>
    </w:p>
    <w:p w14:paraId="43B63BAD" w14:textId="411C24E7" w:rsidR="0034554B" w:rsidRDefault="0034554B" w:rsidP="00B76781">
      <w:pPr>
        <w:jc w:val="both"/>
        <w:rPr>
          <w:lang w:val="en-GB" w:eastAsia="ja-JP" w:bidi="hi-IN"/>
        </w:rPr>
      </w:pPr>
    </w:p>
    <w:p w14:paraId="6FC08F93" w14:textId="59AE48F9" w:rsidR="0034554B" w:rsidRDefault="0034554B" w:rsidP="00B76781">
      <w:pPr>
        <w:jc w:val="both"/>
        <w:rPr>
          <w:lang w:val="en-GB" w:eastAsia="ja-JP" w:bidi="hi-IN"/>
        </w:rPr>
      </w:pPr>
      <w:r w:rsidRPr="00C072AE">
        <w:rPr>
          <w:b/>
          <w:i/>
          <w:u w:val="single"/>
          <w:lang w:val="en-GB" w:eastAsia="ja-JP" w:bidi="hi-IN"/>
        </w:rPr>
        <w:t>Observation 2</w:t>
      </w:r>
      <w:r w:rsidRPr="00C072AE">
        <w:rPr>
          <w:b/>
          <w:i/>
          <w:lang w:val="en-GB" w:eastAsia="ja-JP" w:bidi="hi-IN"/>
        </w:rPr>
        <w:t xml:space="preserve">: SUO operation should be simpler for NN-DC compared EN-DC, and can be achieved </w:t>
      </w:r>
      <w:r w:rsidR="00C072AE" w:rsidRPr="00C072AE">
        <w:rPr>
          <w:b/>
          <w:i/>
          <w:lang w:val="en-GB" w:eastAsia="ja-JP" w:bidi="hi-IN"/>
        </w:rPr>
        <w:t xml:space="preserve">simply </w:t>
      </w:r>
      <w:r w:rsidRPr="00C072AE">
        <w:rPr>
          <w:b/>
          <w:i/>
          <w:lang w:val="en-GB" w:eastAsia="ja-JP" w:bidi="hi-IN"/>
        </w:rPr>
        <w:t>through network scheduling</w:t>
      </w:r>
      <w:r w:rsidR="00C072AE">
        <w:rPr>
          <w:lang w:val="en-GB" w:eastAsia="ja-JP" w:bidi="hi-IN"/>
        </w:rPr>
        <w:t xml:space="preserve">. </w:t>
      </w:r>
    </w:p>
    <w:p w14:paraId="0E326209" w14:textId="3DE7A420" w:rsidR="00B1796D" w:rsidRDefault="00B1796D" w:rsidP="00B76781">
      <w:pPr>
        <w:jc w:val="both"/>
        <w:rPr>
          <w:lang w:val="en-GB" w:eastAsia="ja-JP" w:bidi="hi-IN"/>
        </w:rPr>
      </w:pPr>
    </w:p>
    <w:p w14:paraId="7A902395" w14:textId="19A7FE88" w:rsidR="00B1796D" w:rsidRDefault="00B1796D" w:rsidP="00B76781">
      <w:pPr>
        <w:jc w:val="both"/>
        <w:rPr>
          <w:lang w:val="en-GB" w:eastAsia="ja-JP" w:bidi="hi-IN"/>
        </w:rPr>
      </w:pPr>
      <w:r w:rsidRPr="00B1796D">
        <w:rPr>
          <w:b/>
          <w:i/>
          <w:u w:val="single"/>
          <w:lang w:val="en-GB" w:eastAsia="ja-JP" w:bidi="hi-IN"/>
        </w:rPr>
        <w:t>Proposal 1</w:t>
      </w:r>
      <w:r w:rsidRPr="00B1796D">
        <w:rPr>
          <w:b/>
          <w:i/>
          <w:lang w:val="en-GB" w:eastAsia="ja-JP" w:bidi="hi-IN"/>
        </w:rPr>
        <w:t>: Single PA architecture should be considered in NN-DC power control, and single Tx switched uplink should also be supported for NN-DC</w:t>
      </w:r>
      <w:r w:rsidR="00D91ED0">
        <w:rPr>
          <w:b/>
          <w:i/>
          <w:lang w:val="en-GB" w:eastAsia="ja-JP" w:bidi="hi-IN"/>
        </w:rPr>
        <w:t xml:space="preserve"> through network scheduling</w:t>
      </w:r>
      <w:r>
        <w:rPr>
          <w:lang w:val="en-GB" w:eastAsia="ja-JP" w:bidi="hi-IN"/>
        </w:rPr>
        <w:t>.</w:t>
      </w:r>
    </w:p>
    <w:p w14:paraId="3812A4F9" w14:textId="77777777" w:rsidR="0034554B" w:rsidRPr="009D0B59" w:rsidRDefault="0034554B" w:rsidP="00B76781">
      <w:pPr>
        <w:jc w:val="both"/>
        <w:rPr>
          <w:lang w:val="en-GB" w:eastAsia="ja-JP" w:bidi="hi-IN"/>
        </w:rPr>
      </w:pPr>
    </w:p>
    <w:p w14:paraId="022AA015" w14:textId="51DE45D8" w:rsidR="009D0B59" w:rsidRDefault="00C072AE" w:rsidP="00C072AE">
      <w:pPr>
        <w:pStyle w:val="Heading2"/>
        <w:rPr>
          <w:lang w:val="en-GB"/>
        </w:rPr>
      </w:pPr>
      <w:r>
        <w:rPr>
          <w:lang w:val="en-GB"/>
        </w:rPr>
        <w:t>Semi-static power sharing vs dynamic power sharing</w:t>
      </w:r>
    </w:p>
    <w:p w14:paraId="3FAA8B4C" w14:textId="5194EF54" w:rsidR="00C072AE" w:rsidRDefault="00C072AE" w:rsidP="00C072AE">
      <w:pPr>
        <w:jc w:val="both"/>
        <w:rPr>
          <w:lang w:val="en-GB" w:eastAsia="ja-JP" w:bidi="hi-IN"/>
        </w:rPr>
      </w:pPr>
      <w:r>
        <w:rPr>
          <w:lang w:val="en-GB" w:eastAsia="ja-JP" w:bidi="hi-IN"/>
        </w:rPr>
        <w:t xml:space="preserve">Semi-static power sharing corresponds to the </w:t>
      </w:r>
      <w:r w:rsidR="00B1796D">
        <w:rPr>
          <w:lang w:val="en-GB" w:eastAsia="ja-JP" w:bidi="hi-IN"/>
        </w:rPr>
        <w:t xml:space="preserve">configuration </w:t>
      </w:r>
      <m:oMath>
        <m:sSub>
          <m:sSubPr>
            <m:ctrlPr>
              <w:rPr>
                <w:rFonts w:ascii="Cambria Math" w:eastAsia="Calibri" w:hAnsi="Cambria Math"/>
                <w:i/>
                <w:lang w:val="en-GB" w:eastAsia="ja-JP" w:bidi="hi-IN"/>
              </w:rPr>
            </m:ctrlPr>
          </m:sSubPr>
          <m:e>
            <m:r>
              <w:rPr>
                <w:rFonts w:ascii="Cambria Math" w:hAnsi="Cambria Math"/>
                <w:lang w:val="en-GB"/>
              </w:rPr>
              <m:t>P</m:t>
            </m:r>
          </m:e>
          <m:sub>
            <m:r>
              <w:rPr>
                <w:rFonts w:ascii="Cambria Math" w:hAnsi="Cambria Math"/>
                <w:lang w:val="en-GB"/>
              </w:rPr>
              <m:t>max,</m:t>
            </m:r>
            <m:r>
              <w:rPr>
                <w:rFonts w:ascii="Cambria Math" w:hAnsi="Cambria Math"/>
                <w:lang w:val="en-GB"/>
              </w:rPr>
              <m:t>CG1</m:t>
            </m:r>
          </m:sub>
        </m:sSub>
        <m:r>
          <w:rPr>
            <w:rFonts w:ascii="Cambria Math" w:hAnsi="Cambria Math"/>
            <w:lang w:val="en-GB"/>
          </w:rPr>
          <m:t>+</m:t>
        </m:r>
        <m:sSub>
          <m:sSubPr>
            <m:ctrlPr>
              <w:rPr>
                <w:rFonts w:ascii="Cambria Math" w:eastAsia="Calibri" w:hAnsi="Cambria Math"/>
                <w:i/>
                <w:lang w:val="en-GB" w:eastAsia="ja-JP" w:bidi="hi-IN"/>
              </w:rPr>
            </m:ctrlPr>
          </m:sSubPr>
          <m:e>
            <m:r>
              <w:rPr>
                <w:rFonts w:ascii="Cambria Math" w:hAnsi="Cambria Math"/>
                <w:lang w:val="en-GB"/>
              </w:rPr>
              <m:t>P</m:t>
            </m:r>
          </m:e>
          <m:sub>
            <m:r>
              <w:rPr>
                <w:rFonts w:ascii="Cambria Math" w:hAnsi="Cambria Math"/>
                <w:lang w:val="en-GB"/>
              </w:rPr>
              <m:t xml:space="preserve">max, </m:t>
            </m:r>
            <m:r>
              <w:rPr>
                <w:rFonts w:ascii="Cambria Math" w:hAnsi="Cambria Math"/>
                <w:lang w:val="en-GB"/>
              </w:rPr>
              <m:t>CG2</m:t>
            </m:r>
          </m:sub>
        </m:sSub>
        <m:r>
          <w:rPr>
            <w:rFonts w:ascii="Cambria Math" w:hAnsi="Cambria Math"/>
            <w:lang w:val="en-GB"/>
          </w:rPr>
          <m:t>≤</m:t>
        </m:r>
        <m:sSub>
          <m:sSubPr>
            <m:ctrlPr>
              <w:rPr>
                <w:rFonts w:ascii="Cambria Math" w:eastAsia="Calibri" w:hAnsi="Cambria Math"/>
                <w:i/>
                <w:lang w:val="en-GB" w:eastAsia="ja-JP" w:bidi="hi-IN"/>
              </w:rPr>
            </m:ctrlPr>
          </m:sSubPr>
          <m:e>
            <m:r>
              <w:rPr>
                <w:rFonts w:ascii="Cambria Math" w:hAnsi="Cambria Math"/>
                <w:lang w:val="en-GB"/>
              </w:rPr>
              <m:t>P</m:t>
            </m:r>
          </m:e>
          <m:sub>
            <m:r>
              <w:rPr>
                <w:rFonts w:ascii="Cambria Math" w:hAnsi="Cambria Math"/>
                <w:lang w:val="en-GB"/>
              </w:rPr>
              <m:t>max,total</m:t>
            </m:r>
          </m:sub>
        </m:sSub>
      </m:oMath>
      <w:r w:rsidR="00B1796D">
        <w:rPr>
          <w:lang w:val="en-GB" w:eastAsia="ja-JP" w:bidi="hi-IN"/>
        </w:rPr>
        <w:t xml:space="preserve">, where </w:t>
      </w:r>
      <m:oMath>
        <m:sSub>
          <m:sSubPr>
            <m:ctrlPr>
              <w:rPr>
                <w:rFonts w:ascii="Cambria Math" w:eastAsia="Calibri" w:hAnsi="Cambria Math"/>
                <w:i/>
                <w:lang w:val="en-GB" w:eastAsia="ja-JP" w:bidi="hi-IN"/>
              </w:rPr>
            </m:ctrlPr>
          </m:sSubPr>
          <m:e>
            <m:r>
              <w:rPr>
                <w:rFonts w:ascii="Cambria Math" w:hAnsi="Cambria Math"/>
                <w:lang w:val="en-GB"/>
              </w:rPr>
              <m:t>P</m:t>
            </m:r>
          </m:e>
          <m:sub>
            <m:r>
              <w:rPr>
                <w:rFonts w:ascii="Cambria Math" w:hAnsi="Cambria Math"/>
                <w:lang w:val="en-GB"/>
              </w:rPr>
              <m:t>max,</m:t>
            </m:r>
            <m:r>
              <w:rPr>
                <w:rFonts w:ascii="Cambria Math" w:hAnsi="Cambria Math"/>
                <w:lang w:val="en-GB"/>
              </w:rPr>
              <m:t>CG1</m:t>
            </m:r>
          </m:sub>
        </m:sSub>
      </m:oMath>
      <w:r w:rsidR="00B1796D">
        <w:rPr>
          <w:lang w:val="en-GB" w:eastAsia="ja-JP" w:bidi="hi-IN"/>
        </w:rPr>
        <w:t xml:space="preserve"> and </w:t>
      </w:r>
      <m:oMath>
        <m:sSub>
          <m:sSubPr>
            <m:ctrlPr>
              <w:rPr>
                <w:rFonts w:ascii="Cambria Math" w:eastAsia="Calibri" w:hAnsi="Cambria Math"/>
                <w:i/>
                <w:lang w:val="en-GB" w:eastAsia="ja-JP" w:bidi="hi-IN"/>
              </w:rPr>
            </m:ctrlPr>
          </m:sSubPr>
          <m:e>
            <m:r>
              <w:rPr>
                <w:rFonts w:ascii="Cambria Math" w:hAnsi="Cambria Math"/>
                <w:lang w:val="en-GB"/>
              </w:rPr>
              <m:t>P</m:t>
            </m:r>
          </m:e>
          <m:sub>
            <m:r>
              <w:rPr>
                <w:rFonts w:ascii="Cambria Math" w:hAnsi="Cambria Math"/>
                <w:lang w:val="en-GB"/>
              </w:rPr>
              <m:t>max,CG</m:t>
            </m:r>
            <m:r>
              <w:rPr>
                <w:rFonts w:ascii="Cambria Math" w:hAnsi="Cambria Math"/>
                <w:lang w:val="en-GB"/>
              </w:rPr>
              <m:t>2</m:t>
            </m:r>
          </m:sub>
        </m:sSub>
      </m:oMath>
      <w:r w:rsidR="00B1796D">
        <w:rPr>
          <w:lang w:val="en-GB" w:eastAsia="ja-JP" w:bidi="hi-IN"/>
        </w:rPr>
        <w:t xml:space="preserve"> are the configured maximal power in cell group 1 and cell group 2, respectively, and </w:t>
      </w:r>
      <m:oMath>
        <m:sSub>
          <m:sSubPr>
            <m:ctrlPr>
              <w:rPr>
                <w:rFonts w:ascii="Cambria Math" w:eastAsia="Calibri" w:hAnsi="Cambria Math"/>
                <w:i/>
                <w:lang w:val="en-GB" w:eastAsia="ja-JP" w:bidi="hi-IN"/>
              </w:rPr>
            </m:ctrlPr>
          </m:sSubPr>
          <m:e>
            <m:r>
              <w:rPr>
                <w:rFonts w:ascii="Cambria Math" w:hAnsi="Cambria Math"/>
                <w:lang w:val="en-GB"/>
              </w:rPr>
              <m:t>P</m:t>
            </m:r>
          </m:e>
          <m:sub>
            <m:r>
              <w:rPr>
                <w:rFonts w:ascii="Cambria Math" w:hAnsi="Cambria Math"/>
                <w:lang w:val="en-GB"/>
              </w:rPr>
              <m:t>max,total</m:t>
            </m:r>
          </m:sub>
        </m:sSub>
      </m:oMath>
      <w:r w:rsidR="00B1796D">
        <w:rPr>
          <w:lang w:val="en-GB" w:eastAsia="ja-JP" w:bidi="hi-IN"/>
        </w:rPr>
        <w:t xml:space="preserve"> is the maximal total power in the frequency range. Dynamic power sharing corresponds to the configuration </w:t>
      </w:r>
      <m:oMath>
        <m:sSub>
          <m:sSubPr>
            <m:ctrlPr>
              <w:rPr>
                <w:rFonts w:ascii="Cambria Math" w:eastAsia="Calibri" w:hAnsi="Cambria Math"/>
                <w:i/>
                <w:lang w:val="en-GB" w:eastAsia="ja-JP" w:bidi="hi-IN"/>
              </w:rPr>
            </m:ctrlPr>
          </m:sSubPr>
          <m:e>
            <m:r>
              <w:rPr>
                <w:rFonts w:ascii="Cambria Math" w:hAnsi="Cambria Math"/>
                <w:lang w:val="en-GB"/>
              </w:rPr>
              <m:t>P</m:t>
            </m:r>
          </m:e>
          <m:sub>
            <m:r>
              <w:rPr>
                <w:rFonts w:ascii="Cambria Math" w:hAnsi="Cambria Math"/>
                <w:lang w:val="en-GB"/>
              </w:rPr>
              <m:t>max,CG1</m:t>
            </m:r>
          </m:sub>
        </m:sSub>
        <m:r>
          <w:rPr>
            <w:rFonts w:ascii="Cambria Math" w:hAnsi="Cambria Math"/>
            <w:lang w:val="en-GB"/>
          </w:rPr>
          <m:t>+</m:t>
        </m:r>
        <m:sSub>
          <m:sSubPr>
            <m:ctrlPr>
              <w:rPr>
                <w:rFonts w:ascii="Cambria Math" w:eastAsia="Calibri" w:hAnsi="Cambria Math"/>
                <w:i/>
                <w:lang w:val="en-GB" w:eastAsia="ja-JP" w:bidi="hi-IN"/>
              </w:rPr>
            </m:ctrlPr>
          </m:sSubPr>
          <m:e>
            <m:r>
              <w:rPr>
                <w:rFonts w:ascii="Cambria Math" w:hAnsi="Cambria Math"/>
                <w:lang w:val="en-GB"/>
              </w:rPr>
              <m:t>P</m:t>
            </m:r>
          </m:e>
          <m:sub>
            <m:r>
              <w:rPr>
                <w:rFonts w:ascii="Cambria Math" w:hAnsi="Cambria Math"/>
                <w:lang w:val="en-GB"/>
              </w:rPr>
              <m:t>max, CG2</m:t>
            </m:r>
          </m:sub>
        </m:sSub>
        <m:r>
          <w:rPr>
            <w:rFonts w:ascii="Cambria Math" w:hAnsi="Cambria Math"/>
            <w:lang w:val="en-GB"/>
          </w:rPr>
          <m:t>&gt;</m:t>
        </m:r>
        <m:sSub>
          <m:sSubPr>
            <m:ctrlPr>
              <w:rPr>
                <w:rFonts w:ascii="Cambria Math" w:eastAsia="Calibri" w:hAnsi="Cambria Math"/>
                <w:i/>
                <w:lang w:val="en-GB" w:eastAsia="ja-JP" w:bidi="hi-IN"/>
              </w:rPr>
            </m:ctrlPr>
          </m:sSubPr>
          <m:e>
            <m:r>
              <w:rPr>
                <w:rFonts w:ascii="Cambria Math" w:hAnsi="Cambria Math"/>
                <w:lang w:val="en-GB"/>
              </w:rPr>
              <m:t>P</m:t>
            </m:r>
          </m:e>
          <m:sub>
            <m:r>
              <w:rPr>
                <w:rFonts w:ascii="Cambria Math" w:hAnsi="Cambria Math"/>
                <w:lang w:val="en-GB"/>
              </w:rPr>
              <m:t>max,total</m:t>
            </m:r>
          </m:sub>
        </m:sSub>
      </m:oMath>
      <w:r w:rsidR="00B1796D">
        <w:rPr>
          <w:lang w:val="en-GB" w:eastAsia="ja-JP" w:bidi="hi-IN"/>
        </w:rPr>
        <w:t>.</w:t>
      </w:r>
    </w:p>
    <w:p w14:paraId="64449ED4" w14:textId="77777777" w:rsidR="00B1796D" w:rsidRDefault="00B1796D" w:rsidP="00C072AE">
      <w:pPr>
        <w:jc w:val="both"/>
        <w:rPr>
          <w:lang w:val="en-GB" w:eastAsia="ja-JP" w:bidi="hi-IN"/>
        </w:rPr>
      </w:pPr>
    </w:p>
    <w:p w14:paraId="572A58D1" w14:textId="1A4700AB" w:rsidR="00C072AE" w:rsidRDefault="00C072AE" w:rsidP="00C072AE">
      <w:pPr>
        <w:jc w:val="both"/>
        <w:rPr>
          <w:lang w:val="en-GB" w:eastAsia="ja-JP" w:bidi="hi-IN"/>
        </w:rPr>
      </w:pPr>
      <w:r>
        <w:rPr>
          <w:lang w:val="en-GB" w:eastAsia="ja-JP" w:bidi="hi-IN"/>
        </w:rPr>
        <w:t xml:space="preserve">As discussed in section </w:t>
      </w:r>
      <w:r>
        <w:rPr>
          <w:lang w:val="en-GB" w:eastAsia="ja-JP" w:bidi="hi-IN"/>
        </w:rPr>
        <w:fldChar w:fldCharType="begin"/>
      </w:r>
      <w:r>
        <w:rPr>
          <w:lang w:val="en-GB" w:eastAsia="ja-JP" w:bidi="hi-IN"/>
        </w:rPr>
        <w:instrText xml:space="preserve"> REF _Ref1151272 \n \h </w:instrText>
      </w:r>
      <w:r>
        <w:rPr>
          <w:lang w:val="en-GB" w:eastAsia="ja-JP" w:bidi="hi-IN"/>
        </w:rPr>
      </w:r>
      <w:r>
        <w:rPr>
          <w:lang w:val="en-GB" w:eastAsia="ja-JP" w:bidi="hi-IN"/>
        </w:rPr>
        <w:fldChar w:fldCharType="separate"/>
      </w:r>
      <w:r w:rsidR="0053402D">
        <w:rPr>
          <w:lang w:val="en-GB" w:eastAsia="ja-JP" w:bidi="hi-IN"/>
        </w:rPr>
        <w:t>2</w:t>
      </w:r>
      <w:r>
        <w:rPr>
          <w:lang w:val="en-GB" w:eastAsia="ja-JP" w:bidi="hi-IN"/>
        </w:rPr>
        <w:fldChar w:fldCharType="end"/>
      </w:r>
      <w:r>
        <w:rPr>
          <w:lang w:val="en-GB" w:eastAsia="ja-JP" w:bidi="hi-IN"/>
        </w:rPr>
        <w:t>, dynamic power sharing capability is generally supportable from UE perspective, due to the fact that both cell groups are processed by the NR modem. This makes dynamic power sharing feasible when the cell groups are synchronous, and UE can calculate the transmission power based on grants from both cell groups that overlap in the specific slot. However, if the cell groups are asynchronous, the power calculation may be more complicated, as the transmission power of one cell group, may depends on multiple partial overlapping slots from the other cell group</w:t>
      </w:r>
      <w:r w:rsidR="00B1796D">
        <w:rPr>
          <w:lang w:val="en-GB" w:eastAsia="ja-JP" w:bidi="hi-IN"/>
        </w:rPr>
        <w:t xml:space="preserve">. Therefore, in </w:t>
      </w:r>
      <w:r w:rsidR="00A151CF">
        <w:rPr>
          <w:lang w:val="en-GB" w:eastAsia="ja-JP" w:bidi="hi-IN"/>
        </w:rPr>
        <w:t>order to si</w:t>
      </w:r>
      <w:r w:rsidR="00D91ED0">
        <w:rPr>
          <w:lang w:val="en-GB" w:eastAsia="ja-JP" w:bidi="hi-IN"/>
        </w:rPr>
        <w:t>mplify UE modem implementation, semi-static power sharing can be supported at least for the asynchronous NN-DC within the same frequency range.</w:t>
      </w:r>
    </w:p>
    <w:p w14:paraId="3B9D988B" w14:textId="27F1D866" w:rsidR="00D91ED0" w:rsidRDefault="00D91ED0" w:rsidP="00C072AE">
      <w:pPr>
        <w:jc w:val="both"/>
        <w:rPr>
          <w:lang w:val="en-GB" w:eastAsia="ja-JP" w:bidi="hi-IN"/>
        </w:rPr>
      </w:pPr>
    </w:p>
    <w:p w14:paraId="04079AF9" w14:textId="4ADDA4BC" w:rsidR="00D91ED0" w:rsidRDefault="00D91ED0" w:rsidP="00C072AE">
      <w:pPr>
        <w:jc w:val="both"/>
        <w:rPr>
          <w:lang w:val="en-GB" w:eastAsia="ja-JP" w:bidi="hi-IN"/>
        </w:rPr>
      </w:pPr>
      <w:r w:rsidRPr="00D91ED0">
        <w:rPr>
          <w:b/>
          <w:i/>
          <w:u w:val="single"/>
          <w:lang w:val="en-GB" w:eastAsia="ja-JP" w:bidi="hi-IN"/>
        </w:rPr>
        <w:t>Proposal 2</w:t>
      </w:r>
      <w:r w:rsidRPr="00D91ED0">
        <w:rPr>
          <w:b/>
          <w:i/>
          <w:lang w:val="en-GB" w:eastAsia="ja-JP" w:bidi="hi-IN"/>
        </w:rPr>
        <w:t>: semi-static power sharing should be supported for asynchronous NN-DC within the same frequency range</w:t>
      </w:r>
      <w:r>
        <w:rPr>
          <w:lang w:val="en-GB" w:eastAsia="ja-JP" w:bidi="hi-IN"/>
        </w:rPr>
        <w:t>.</w:t>
      </w:r>
    </w:p>
    <w:p w14:paraId="3E31C800" w14:textId="77777777" w:rsidR="00A61863" w:rsidRPr="00E65998" w:rsidRDefault="00A61863" w:rsidP="00B9532A">
      <w:pPr>
        <w:rPr>
          <w:sz w:val="22"/>
          <w:szCs w:val="22"/>
        </w:rPr>
      </w:pPr>
    </w:p>
    <w:p w14:paraId="582659F1" w14:textId="3034C969" w:rsidR="00633C58" w:rsidRDefault="00633C58" w:rsidP="00633C58">
      <w:pPr>
        <w:pStyle w:val="Heading1"/>
      </w:pPr>
      <w:r>
        <w:t>Summary</w:t>
      </w:r>
    </w:p>
    <w:p w14:paraId="045B0073" w14:textId="74208980" w:rsidR="00633C58" w:rsidRPr="00D91ED0" w:rsidRDefault="00D91ED0" w:rsidP="00D91ED0">
      <w:pPr>
        <w:overflowPunct w:val="0"/>
        <w:autoSpaceDE w:val="0"/>
        <w:autoSpaceDN w:val="0"/>
        <w:adjustRightInd w:val="0"/>
        <w:contextualSpacing/>
        <w:jc w:val="both"/>
        <w:textAlignment w:val="baseline"/>
        <w:rPr>
          <w:sz w:val="22"/>
          <w:szCs w:val="22"/>
        </w:rPr>
      </w:pPr>
      <w:r w:rsidRPr="00D91ED0">
        <w:rPr>
          <w:sz w:val="22"/>
          <w:szCs w:val="22"/>
        </w:rPr>
        <w:t xml:space="preserve">In this contribution, </w:t>
      </w:r>
      <w:r>
        <w:rPr>
          <w:sz w:val="22"/>
          <w:szCs w:val="22"/>
        </w:rPr>
        <w:t>we briefly look at the difference on power control between R15 EN-DC/NE-DC and NN-DC, and consider a few open issues regarding NN-DC.</w:t>
      </w:r>
    </w:p>
    <w:p w14:paraId="63520BC1" w14:textId="73AE381D" w:rsidR="00E65998" w:rsidRDefault="00E65998" w:rsidP="00E65998">
      <w:pPr>
        <w:overflowPunct w:val="0"/>
        <w:autoSpaceDE w:val="0"/>
        <w:autoSpaceDN w:val="0"/>
        <w:adjustRightInd w:val="0"/>
        <w:contextualSpacing/>
        <w:jc w:val="both"/>
        <w:textAlignment w:val="baseline"/>
        <w:rPr>
          <w:sz w:val="22"/>
          <w:szCs w:val="22"/>
        </w:rPr>
      </w:pPr>
    </w:p>
    <w:p w14:paraId="7DABA831" w14:textId="5D597D39" w:rsidR="004D69EF" w:rsidRDefault="004D69EF" w:rsidP="00E65998">
      <w:pPr>
        <w:overflowPunct w:val="0"/>
        <w:autoSpaceDE w:val="0"/>
        <w:autoSpaceDN w:val="0"/>
        <w:adjustRightInd w:val="0"/>
        <w:contextualSpacing/>
        <w:jc w:val="both"/>
        <w:textAlignment w:val="baseline"/>
        <w:rPr>
          <w:sz w:val="22"/>
          <w:szCs w:val="22"/>
        </w:rPr>
      </w:pPr>
      <w:r>
        <w:rPr>
          <w:sz w:val="22"/>
          <w:szCs w:val="22"/>
        </w:rPr>
        <w:t>We have the following observations:</w:t>
      </w:r>
    </w:p>
    <w:p w14:paraId="4D25D9D5" w14:textId="77777777" w:rsidR="00D91ED0" w:rsidRDefault="00D91ED0" w:rsidP="00E65998">
      <w:pPr>
        <w:overflowPunct w:val="0"/>
        <w:autoSpaceDE w:val="0"/>
        <w:autoSpaceDN w:val="0"/>
        <w:adjustRightInd w:val="0"/>
        <w:contextualSpacing/>
        <w:jc w:val="both"/>
        <w:textAlignment w:val="baseline"/>
        <w:rPr>
          <w:sz w:val="22"/>
          <w:szCs w:val="22"/>
        </w:rPr>
      </w:pPr>
    </w:p>
    <w:p w14:paraId="4E79107E" w14:textId="77777777" w:rsidR="00D91ED0" w:rsidRPr="00C072AE" w:rsidRDefault="00D91ED0" w:rsidP="00D91ED0">
      <w:pPr>
        <w:jc w:val="both"/>
        <w:rPr>
          <w:b/>
          <w:i/>
          <w:lang w:val="en-GB" w:eastAsia="ja-JP" w:bidi="hi-IN"/>
        </w:rPr>
      </w:pPr>
      <w:r w:rsidRPr="00C072AE">
        <w:rPr>
          <w:b/>
          <w:i/>
          <w:u w:val="single"/>
          <w:lang w:val="en-GB" w:eastAsia="ja-JP" w:bidi="hi-IN"/>
        </w:rPr>
        <w:t>Observation 1</w:t>
      </w:r>
      <w:r w:rsidRPr="00C072AE">
        <w:rPr>
          <w:b/>
          <w:i/>
          <w:lang w:val="en-GB" w:eastAsia="ja-JP" w:bidi="hi-IN"/>
        </w:rPr>
        <w:t>: single PA architecture is already supported by specification in certain cases, and should be considered in NN-DC power control from design perspective</w:t>
      </w:r>
    </w:p>
    <w:p w14:paraId="157A7FA0" w14:textId="77777777" w:rsidR="00D91ED0" w:rsidRDefault="00D91ED0" w:rsidP="00D91ED0">
      <w:pPr>
        <w:jc w:val="both"/>
        <w:rPr>
          <w:lang w:val="en-GB" w:eastAsia="ja-JP" w:bidi="hi-IN"/>
        </w:rPr>
      </w:pPr>
    </w:p>
    <w:p w14:paraId="177EEC67" w14:textId="77777777" w:rsidR="00D91ED0" w:rsidRDefault="00D91ED0" w:rsidP="00D91ED0">
      <w:pPr>
        <w:jc w:val="both"/>
        <w:rPr>
          <w:lang w:val="en-GB" w:eastAsia="ja-JP" w:bidi="hi-IN"/>
        </w:rPr>
      </w:pPr>
      <w:r w:rsidRPr="00C072AE">
        <w:rPr>
          <w:b/>
          <w:i/>
          <w:u w:val="single"/>
          <w:lang w:val="en-GB" w:eastAsia="ja-JP" w:bidi="hi-IN"/>
        </w:rPr>
        <w:t>Observation 2</w:t>
      </w:r>
      <w:r w:rsidRPr="00C072AE">
        <w:rPr>
          <w:b/>
          <w:i/>
          <w:lang w:val="en-GB" w:eastAsia="ja-JP" w:bidi="hi-IN"/>
        </w:rPr>
        <w:t>: SUO operation should be simpler for NN-DC compared EN-DC, and can be achieved simply through network scheduling</w:t>
      </w:r>
      <w:r>
        <w:rPr>
          <w:lang w:val="en-GB" w:eastAsia="ja-JP" w:bidi="hi-IN"/>
        </w:rPr>
        <w:t xml:space="preserve">. </w:t>
      </w:r>
    </w:p>
    <w:p w14:paraId="2734C195" w14:textId="77777777" w:rsidR="004D69EF" w:rsidRPr="00D91ED0" w:rsidRDefault="004D69EF" w:rsidP="00E65998">
      <w:pPr>
        <w:overflowPunct w:val="0"/>
        <w:autoSpaceDE w:val="0"/>
        <w:autoSpaceDN w:val="0"/>
        <w:adjustRightInd w:val="0"/>
        <w:contextualSpacing/>
        <w:jc w:val="both"/>
        <w:textAlignment w:val="baseline"/>
        <w:rPr>
          <w:sz w:val="22"/>
          <w:szCs w:val="22"/>
          <w:lang w:val="en-GB"/>
        </w:rPr>
      </w:pPr>
    </w:p>
    <w:p w14:paraId="48C6BDDE" w14:textId="286E6A83" w:rsidR="00E65998" w:rsidRDefault="004D69EF" w:rsidP="00E65998">
      <w:pPr>
        <w:overflowPunct w:val="0"/>
        <w:autoSpaceDE w:val="0"/>
        <w:autoSpaceDN w:val="0"/>
        <w:adjustRightInd w:val="0"/>
        <w:contextualSpacing/>
        <w:jc w:val="both"/>
        <w:textAlignment w:val="baseline"/>
        <w:rPr>
          <w:sz w:val="22"/>
          <w:szCs w:val="22"/>
        </w:rPr>
      </w:pPr>
      <w:r>
        <w:rPr>
          <w:sz w:val="22"/>
          <w:szCs w:val="22"/>
        </w:rPr>
        <w:t>We also</w:t>
      </w:r>
      <w:r w:rsidR="00E65998">
        <w:rPr>
          <w:sz w:val="22"/>
          <w:szCs w:val="22"/>
        </w:rPr>
        <w:t xml:space="preserve"> propose the following:</w:t>
      </w:r>
    </w:p>
    <w:p w14:paraId="2EF8EC59" w14:textId="77777777" w:rsidR="00D91ED0" w:rsidRDefault="00D91ED0" w:rsidP="00E65998">
      <w:pPr>
        <w:overflowPunct w:val="0"/>
        <w:autoSpaceDE w:val="0"/>
        <w:autoSpaceDN w:val="0"/>
        <w:adjustRightInd w:val="0"/>
        <w:contextualSpacing/>
        <w:jc w:val="both"/>
        <w:textAlignment w:val="baseline"/>
        <w:rPr>
          <w:sz w:val="22"/>
          <w:szCs w:val="22"/>
        </w:rPr>
      </w:pPr>
    </w:p>
    <w:p w14:paraId="0DD321DE" w14:textId="68E863F2" w:rsidR="00D91ED0" w:rsidRDefault="00D91ED0" w:rsidP="00D91ED0">
      <w:pPr>
        <w:jc w:val="both"/>
        <w:rPr>
          <w:lang w:val="en-GB" w:eastAsia="ja-JP" w:bidi="hi-IN"/>
        </w:rPr>
      </w:pPr>
      <w:r w:rsidRPr="00B1796D">
        <w:rPr>
          <w:b/>
          <w:i/>
          <w:u w:val="single"/>
          <w:lang w:val="en-GB" w:eastAsia="ja-JP" w:bidi="hi-IN"/>
        </w:rPr>
        <w:t>Proposal 1</w:t>
      </w:r>
      <w:r w:rsidRPr="00B1796D">
        <w:rPr>
          <w:b/>
          <w:i/>
          <w:lang w:val="en-GB" w:eastAsia="ja-JP" w:bidi="hi-IN"/>
        </w:rPr>
        <w:t>: Single PA architecture should be considered in NN-DC power control, and single Tx switched uplink should also be supported for NN-DC</w:t>
      </w:r>
      <w:r>
        <w:rPr>
          <w:b/>
          <w:i/>
          <w:lang w:val="en-GB" w:eastAsia="ja-JP" w:bidi="hi-IN"/>
        </w:rPr>
        <w:t xml:space="preserve"> through network scheduling</w:t>
      </w:r>
      <w:r>
        <w:rPr>
          <w:lang w:val="en-GB" w:eastAsia="ja-JP" w:bidi="hi-IN"/>
        </w:rPr>
        <w:t>.</w:t>
      </w:r>
    </w:p>
    <w:p w14:paraId="1704D071" w14:textId="2EBD3B85" w:rsidR="004D69EF" w:rsidRPr="00D91ED0" w:rsidRDefault="004D69EF" w:rsidP="004D69EF">
      <w:pPr>
        <w:overflowPunct w:val="0"/>
        <w:autoSpaceDE w:val="0"/>
        <w:autoSpaceDN w:val="0"/>
        <w:adjustRightInd w:val="0"/>
        <w:jc w:val="both"/>
        <w:textAlignment w:val="baseline"/>
        <w:rPr>
          <w:rFonts w:eastAsia="MS Mincho"/>
          <w:b/>
          <w:i/>
          <w:sz w:val="22"/>
          <w:szCs w:val="22"/>
          <w:lang w:val="en-GB"/>
        </w:rPr>
      </w:pPr>
    </w:p>
    <w:p w14:paraId="0CF35DA3" w14:textId="77777777" w:rsidR="00D91ED0" w:rsidRDefault="00D91ED0" w:rsidP="00D91ED0">
      <w:pPr>
        <w:jc w:val="both"/>
        <w:rPr>
          <w:lang w:val="en-GB" w:eastAsia="ja-JP" w:bidi="hi-IN"/>
        </w:rPr>
      </w:pPr>
      <w:r w:rsidRPr="00D91ED0">
        <w:rPr>
          <w:b/>
          <w:i/>
          <w:u w:val="single"/>
          <w:lang w:val="en-GB" w:eastAsia="ja-JP" w:bidi="hi-IN"/>
        </w:rPr>
        <w:t>Proposal 2</w:t>
      </w:r>
      <w:r w:rsidRPr="00D91ED0">
        <w:rPr>
          <w:b/>
          <w:i/>
          <w:lang w:val="en-GB" w:eastAsia="ja-JP" w:bidi="hi-IN"/>
        </w:rPr>
        <w:t>: semi-static power sharing should be supported for asynchronous NN-DC within the same frequency range</w:t>
      </w:r>
      <w:r>
        <w:rPr>
          <w:lang w:val="en-GB" w:eastAsia="ja-JP" w:bidi="hi-IN"/>
        </w:rPr>
        <w:t>.</w:t>
      </w:r>
    </w:p>
    <w:p w14:paraId="147AE064" w14:textId="77777777" w:rsidR="004D69EF" w:rsidRPr="00D91ED0" w:rsidRDefault="004D69EF" w:rsidP="004D69EF">
      <w:pPr>
        <w:overflowPunct w:val="0"/>
        <w:autoSpaceDE w:val="0"/>
        <w:autoSpaceDN w:val="0"/>
        <w:adjustRightInd w:val="0"/>
        <w:jc w:val="both"/>
        <w:textAlignment w:val="baseline"/>
        <w:rPr>
          <w:rFonts w:eastAsia="MS Mincho"/>
          <w:b/>
          <w:i/>
          <w:sz w:val="22"/>
          <w:szCs w:val="22"/>
          <w:lang w:val="en-GB"/>
        </w:rPr>
      </w:pPr>
    </w:p>
    <w:p w14:paraId="47BA569A" w14:textId="77777777" w:rsidR="0017048A" w:rsidRPr="00342BBF" w:rsidRDefault="0017048A" w:rsidP="00342BBF">
      <w:pPr>
        <w:pStyle w:val="Heading1"/>
      </w:pPr>
      <w:r w:rsidRPr="00342BBF">
        <w:t>References</w:t>
      </w:r>
    </w:p>
    <w:p w14:paraId="365457C8" w14:textId="3E9B842C" w:rsidR="00A5616A" w:rsidRDefault="00A5616A" w:rsidP="00B85F50">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4" w:name="_Ref523690318"/>
      <w:bookmarkStart w:id="5" w:name="_Ref1153244"/>
      <w:r>
        <w:rPr>
          <w:sz w:val="22"/>
          <w:szCs w:val="22"/>
        </w:rPr>
        <w:t>“Chairman Note, RAN#81”, 3GPP RAN #81, Gold Coast, Australia, 10</w:t>
      </w:r>
      <w:r w:rsidRPr="008B6807">
        <w:rPr>
          <w:sz w:val="22"/>
          <w:szCs w:val="22"/>
          <w:vertAlign w:val="superscript"/>
        </w:rPr>
        <w:t>th</w:t>
      </w:r>
      <w:r>
        <w:rPr>
          <w:sz w:val="22"/>
          <w:szCs w:val="22"/>
        </w:rPr>
        <w:t xml:space="preserve"> – 13</w:t>
      </w:r>
      <w:r w:rsidRPr="008B6807">
        <w:rPr>
          <w:sz w:val="22"/>
          <w:szCs w:val="22"/>
          <w:vertAlign w:val="superscript"/>
        </w:rPr>
        <w:t>th</w:t>
      </w:r>
      <w:r>
        <w:rPr>
          <w:sz w:val="22"/>
          <w:szCs w:val="22"/>
        </w:rPr>
        <w:t xml:space="preserve"> September, 2018</w:t>
      </w:r>
      <w:r>
        <w:rPr>
          <w:sz w:val="22"/>
          <w:szCs w:val="22"/>
        </w:rPr>
        <w:t>.</w:t>
      </w:r>
      <w:bookmarkEnd w:id="5"/>
    </w:p>
    <w:p w14:paraId="2D9D1749" w14:textId="60D829B8" w:rsidR="002A6A82" w:rsidRDefault="002A6A82" w:rsidP="002A6A82">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6" w:name="_Ref534895922"/>
      <w:r>
        <w:rPr>
          <w:sz w:val="22"/>
          <w:szCs w:val="22"/>
        </w:rPr>
        <w:t>PR-182076, “WID on Multi-RAT Dual-Connectivity and Carrier Aggregation enhancements (</w:t>
      </w:r>
      <w:proofErr w:type="spellStart"/>
      <w:r>
        <w:rPr>
          <w:sz w:val="22"/>
          <w:szCs w:val="22"/>
        </w:rPr>
        <w:t>LTE_NR_DC_CA_enh</w:t>
      </w:r>
      <w:proofErr w:type="spellEnd"/>
      <w:r>
        <w:rPr>
          <w:sz w:val="22"/>
          <w:szCs w:val="22"/>
        </w:rPr>
        <w:t>-Core)”, RAN #81, Gold Coast, Australia, 10</w:t>
      </w:r>
      <w:r w:rsidRPr="00373BD4">
        <w:rPr>
          <w:sz w:val="22"/>
          <w:szCs w:val="22"/>
          <w:vertAlign w:val="superscript"/>
        </w:rPr>
        <w:t>th</w:t>
      </w:r>
      <w:r>
        <w:rPr>
          <w:sz w:val="22"/>
          <w:szCs w:val="22"/>
        </w:rPr>
        <w:t xml:space="preserve"> – 13</w:t>
      </w:r>
      <w:r w:rsidRPr="00373BD4">
        <w:rPr>
          <w:sz w:val="22"/>
          <w:szCs w:val="22"/>
          <w:vertAlign w:val="superscript"/>
        </w:rPr>
        <w:t>th</w:t>
      </w:r>
      <w:r>
        <w:rPr>
          <w:sz w:val="22"/>
          <w:szCs w:val="22"/>
        </w:rPr>
        <w:t xml:space="preserve"> September, 2018.</w:t>
      </w:r>
      <w:bookmarkEnd w:id="6"/>
    </w:p>
    <w:p w14:paraId="3048B355" w14:textId="77777777" w:rsidR="0099799E" w:rsidRDefault="0099799E" w:rsidP="0099799E">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7" w:name="_Ref1123521"/>
      <w:r>
        <w:rPr>
          <w:sz w:val="22"/>
          <w:szCs w:val="22"/>
        </w:rPr>
        <w:lastRenderedPageBreak/>
        <w:t>“</w:t>
      </w:r>
      <w:r w:rsidRPr="000243BF">
        <w:rPr>
          <w:sz w:val="22"/>
          <w:szCs w:val="22"/>
        </w:rPr>
        <w:t>Chairman Note</w:t>
      </w:r>
      <w:r>
        <w:rPr>
          <w:sz w:val="22"/>
          <w:szCs w:val="22"/>
        </w:rPr>
        <w:t>s</w:t>
      </w:r>
      <w:r w:rsidRPr="000243BF">
        <w:rPr>
          <w:sz w:val="22"/>
          <w:szCs w:val="22"/>
        </w:rPr>
        <w:t>, RAN1</w:t>
      </w:r>
      <w:r>
        <w:rPr>
          <w:sz w:val="22"/>
          <w:szCs w:val="22"/>
        </w:rPr>
        <w:t xml:space="preserve"> Ad-Hoc </w:t>
      </w:r>
      <w:r w:rsidRPr="000243BF">
        <w:rPr>
          <w:sz w:val="22"/>
          <w:szCs w:val="22"/>
        </w:rPr>
        <w:t>#</w:t>
      </w:r>
      <w:r>
        <w:rPr>
          <w:sz w:val="22"/>
          <w:szCs w:val="22"/>
        </w:rPr>
        <w:t>1901”, 3GPP RAN1 Ad-Hoc #1901</w:t>
      </w:r>
      <w:r w:rsidRPr="000243BF">
        <w:rPr>
          <w:sz w:val="22"/>
          <w:szCs w:val="22"/>
        </w:rPr>
        <w:t xml:space="preserve">, </w:t>
      </w:r>
      <w:r>
        <w:rPr>
          <w:sz w:val="22"/>
          <w:szCs w:val="22"/>
        </w:rPr>
        <w:t>Taipei, Taiwan</w:t>
      </w:r>
      <w:r w:rsidRPr="000243BF">
        <w:rPr>
          <w:sz w:val="22"/>
          <w:szCs w:val="22"/>
        </w:rPr>
        <w:t xml:space="preserve">, </w:t>
      </w:r>
      <w:r>
        <w:rPr>
          <w:sz w:val="22"/>
          <w:szCs w:val="22"/>
        </w:rPr>
        <w:t>21</w:t>
      </w:r>
      <w:r w:rsidRPr="00AD62C5">
        <w:rPr>
          <w:sz w:val="22"/>
          <w:szCs w:val="22"/>
          <w:vertAlign w:val="superscript"/>
        </w:rPr>
        <w:t>st</w:t>
      </w:r>
      <w:r>
        <w:rPr>
          <w:sz w:val="22"/>
          <w:szCs w:val="22"/>
        </w:rPr>
        <w:t xml:space="preserve"> </w:t>
      </w:r>
      <w:r w:rsidRPr="000243BF">
        <w:rPr>
          <w:sz w:val="22"/>
          <w:szCs w:val="22"/>
        </w:rPr>
        <w:t xml:space="preserve">– </w:t>
      </w:r>
      <w:r>
        <w:rPr>
          <w:sz w:val="22"/>
          <w:szCs w:val="22"/>
        </w:rPr>
        <w:t>25</w:t>
      </w:r>
      <w:r w:rsidRPr="00AD62C5">
        <w:rPr>
          <w:sz w:val="22"/>
          <w:szCs w:val="22"/>
          <w:vertAlign w:val="superscript"/>
        </w:rPr>
        <w:t>th</w:t>
      </w:r>
      <w:r>
        <w:rPr>
          <w:sz w:val="22"/>
          <w:szCs w:val="22"/>
        </w:rPr>
        <w:t xml:space="preserve"> January</w:t>
      </w:r>
      <w:r w:rsidRPr="000243BF">
        <w:rPr>
          <w:sz w:val="22"/>
          <w:szCs w:val="22"/>
        </w:rPr>
        <w:t xml:space="preserve"> 201</w:t>
      </w:r>
      <w:r>
        <w:rPr>
          <w:sz w:val="22"/>
          <w:szCs w:val="22"/>
        </w:rPr>
        <w:t>9.</w:t>
      </w:r>
      <w:bookmarkEnd w:id="7"/>
    </w:p>
    <w:p w14:paraId="6F2A71BC" w14:textId="23905DA8" w:rsidR="002A6A82" w:rsidRPr="0099799E" w:rsidRDefault="0099799E" w:rsidP="0099799E">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8" w:name="_Ref1148362"/>
      <w:r>
        <w:rPr>
          <w:sz w:val="22"/>
          <w:szCs w:val="22"/>
        </w:rPr>
        <w:t>R1-1901452, “Summary of uplink power control for supporting NR-NR dual connectivity”, Qualcomm, 3GPP RAN1 Ad-Hoc #1901</w:t>
      </w:r>
      <w:r w:rsidRPr="000243BF">
        <w:rPr>
          <w:sz w:val="22"/>
          <w:szCs w:val="22"/>
        </w:rPr>
        <w:t xml:space="preserve">, </w:t>
      </w:r>
      <w:r>
        <w:rPr>
          <w:sz w:val="22"/>
          <w:szCs w:val="22"/>
        </w:rPr>
        <w:t>Taipei, Taiwan</w:t>
      </w:r>
      <w:r w:rsidRPr="000243BF">
        <w:rPr>
          <w:sz w:val="22"/>
          <w:szCs w:val="22"/>
        </w:rPr>
        <w:t xml:space="preserve">, </w:t>
      </w:r>
      <w:r>
        <w:rPr>
          <w:sz w:val="22"/>
          <w:szCs w:val="22"/>
        </w:rPr>
        <w:t>21</w:t>
      </w:r>
      <w:r w:rsidRPr="00AD62C5">
        <w:rPr>
          <w:sz w:val="22"/>
          <w:szCs w:val="22"/>
          <w:vertAlign w:val="superscript"/>
        </w:rPr>
        <w:t>st</w:t>
      </w:r>
      <w:r>
        <w:rPr>
          <w:sz w:val="22"/>
          <w:szCs w:val="22"/>
        </w:rPr>
        <w:t xml:space="preserve"> </w:t>
      </w:r>
      <w:r w:rsidRPr="000243BF">
        <w:rPr>
          <w:sz w:val="22"/>
          <w:szCs w:val="22"/>
        </w:rPr>
        <w:t xml:space="preserve">– </w:t>
      </w:r>
      <w:r>
        <w:rPr>
          <w:sz w:val="22"/>
          <w:szCs w:val="22"/>
        </w:rPr>
        <w:t>25</w:t>
      </w:r>
      <w:r w:rsidRPr="00AD62C5">
        <w:rPr>
          <w:sz w:val="22"/>
          <w:szCs w:val="22"/>
          <w:vertAlign w:val="superscript"/>
        </w:rPr>
        <w:t>th</w:t>
      </w:r>
      <w:r>
        <w:rPr>
          <w:sz w:val="22"/>
          <w:szCs w:val="22"/>
        </w:rPr>
        <w:t xml:space="preserve"> January</w:t>
      </w:r>
      <w:r w:rsidRPr="000243BF">
        <w:rPr>
          <w:sz w:val="22"/>
          <w:szCs w:val="22"/>
        </w:rPr>
        <w:t xml:space="preserve"> 201</w:t>
      </w:r>
      <w:r>
        <w:rPr>
          <w:sz w:val="22"/>
          <w:szCs w:val="22"/>
        </w:rPr>
        <w:t>9.</w:t>
      </w:r>
      <w:bookmarkEnd w:id="8"/>
    </w:p>
    <w:p w14:paraId="7B7EA449" w14:textId="0EE9B1BD" w:rsidR="00B85F50" w:rsidRDefault="00B85F50" w:rsidP="00B85F50">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9" w:name="_Ref1153510"/>
      <w:r>
        <w:rPr>
          <w:sz w:val="22"/>
          <w:szCs w:val="22"/>
        </w:rPr>
        <w:t>“</w:t>
      </w:r>
      <w:r w:rsidRPr="000243BF">
        <w:rPr>
          <w:sz w:val="22"/>
          <w:szCs w:val="22"/>
        </w:rPr>
        <w:t>Chairman Note</w:t>
      </w:r>
      <w:r>
        <w:rPr>
          <w:sz w:val="22"/>
          <w:szCs w:val="22"/>
        </w:rPr>
        <w:t>, RAN4#86bis”</w:t>
      </w:r>
      <w:r w:rsidRPr="000243BF">
        <w:rPr>
          <w:sz w:val="22"/>
          <w:szCs w:val="22"/>
        </w:rPr>
        <w:t xml:space="preserve">, </w:t>
      </w:r>
      <w:r>
        <w:rPr>
          <w:sz w:val="22"/>
          <w:szCs w:val="22"/>
        </w:rPr>
        <w:t xml:space="preserve">3GPP RAN4 #86bis, </w:t>
      </w:r>
      <w:r w:rsidRPr="000243BF">
        <w:rPr>
          <w:sz w:val="22"/>
          <w:szCs w:val="22"/>
        </w:rPr>
        <w:t xml:space="preserve">Melbourne, Australia, USA </w:t>
      </w:r>
      <w:r>
        <w:rPr>
          <w:sz w:val="22"/>
          <w:szCs w:val="22"/>
        </w:rPr>
        <w:t xml:space="preserve">16 </w:t>
      </w:r>
      <w:r w:rsidRPr="000243BF">
        <w:rPr>
          <w:sz w:val="22"/>
          <w:szCs w:val="22"/>
        </w:rPr>
        <w:t>- 20 April, 2018</w:t>
      </w:r>
      <w:r>
        <w:rPr>
          <w:sz w:val="22"/>
          <w:szCs w:val="22"/>
        </w:rPr>
        <w:t>.</w:t>
      </w:r>
      <w:bookmarkEnd w:id="4"/>
      <w:bookmarkEnd w:id="9"/>
    </w:p>
    <w:p w14:paraId="500F52ED" w14:textId="4C9DC876" w:rsidR="00696DFB" w:rsidRDefault="00696DFB" w:rsidP="00B85F50">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0" w:name="_Ref1153135"/>
      <w:r>
        <w:rPr>
          <w:sz w:val="22"/>
          <w:szCs w:val="22"/>
        </w:rPr>
        <w:t>R2-1819100</w:t>
      </w:r>
      <w:r w:rsidR="0060383F">
        <w:rPr>
          <w:sz w:val="22"/>
          <w:szCs w:val="22"/>
        </w:rPr>
        <w:t>, “UE capability on PA architecture”, Apple, CHTTL, MediaTek, Intel, OPPO, CR agreed in RAN2 #104, Spokane, USA, 12</w:t>
      </w:r>
      <w:r w:rsidR="0060383F" w:rsidRPr="0060383F">
        <w:rPr>
          <w:sz w:val="22"/>
          <w:szCs w:val="22"/>
          <w:vertAlign w:val="superscript"/>
        </w:rPr>
        <w:t>th</w:t>
      </w:r>
      <w:r w:rsidR="0060383F">
        <w:rPr>
          <w:sz w:val="22"/>
          <w:szCs w:val="22"/>
        </w:rPr>
        <w:t xml:space="preserve"> – 16</w:t>
      </w:r>
      <w:r w:rsidR="0060383F" w:rsidRPr="0060383F">
        <w:rPr>
          <w:sz w:val="22"/>
          <w:szCs w:val="22"/>
          <w:vertAlign w:val="superscript"/>
        </w:rPr>
        <w:t>th</w:t>
      </w:r>
      <w:r w:rsidR="0060383F">
        <w:rPr>
          <w:sz w:val="22"/>
          <w:szCs w:val="22"/>
        </w:rPr>
        <w:t xml:space="preserve"> November 2018.</w:t>
      </w:r>
      <w:bookmarkEnd w:id="10"/>
    </w:p>
    <w:p w14:paraId="7B2289A0" w14:textId="77777777" w:rsidR="00A60163" w:rsidRPr="00A60163" w:rsidRDefault="00A60163" w:rsidP="00A60163">
      <w:pPr>
        <w:widowControl w:val="0"/>
      </w:pPr>
    </w:p>
    <w:sectPr w:rsidR="00A60163" w:rsidRPr="00A60163"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39A2D" w14:textId="77777777" w:rsidR="004D0E37" w:rsidRDefault="004D0E37">
      <w:r>
        <w:separator/>
      </w:r>
    </w:p>
  </w:endnote>
  <w:endnote w:type="continuationSeparator" w:id="0">
    <w:p w14:paraId="061D431E" w14:textId="77777777" w:rsidR="004D0E37" w:rsidRDefault="004D0E37">
      <w:r>
        <w:continuationSeparator/>
      </w:r>
    </w:p>
  </w:endnote>
  <w:endnote w:type="continuationNotice" w:id="1">
    <w:p w14:paraId="61B2CAFE" w14:textId="77777777" w:rsidR="004D0E37" w:rsidRDefault="004D0E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4D"/>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D7E1F" w14:textId="77777777" w:rsidR="004D0E37" w:rsidRDefault="004D0E37">
      <w:r>
        <w:separator/>
      </w:r>
    </w:p>
  </w:footnote>
  <w:footnote w:type="continuationSeparator" w:id="0">
    <w:p w14:paraId="6DEFD047" w14:textId="77777777" w:rsidR="004D0E37" w:rsidRDefault="004D0E37">
      <w:r>
        <w:continuationSeparator/>
      </w:r>
    </w:p>
  </w:footnote>
  <w:footnote w:type="continuationNotice" w:id="1">
    <w:p w14:paraId="026E140B" w14:textId="77777777" w:rsidR="004D0E37" w:rsidRDefault="004D0E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C530ACD"/>
    <w:multiLevelType w:val="multilevel"/>
    <w:tmpl w:val="58B81FB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3A6AD1"/>
    <w:multiLevelType w:val="hybridMultilevel"/>
    <w:tmpl w:val="C7188214"/>
    <w:lvl w:ilvl="0" w:tplc="09F8D3B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02525"/>
    <w:multiLevelType w:val="hybridMultilevel"/>
    <w:tmpl w:val="033A0454"/>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843AA8"/>
    <w:multiLevelType w:val="hybridMultilevel"/>
    <w:tmpl w:val="D95E7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629B2"/>
    <w:multiLevelType w:val="hybridMultilevel"/>
    <w:tmpl w:val="7A30E7B6"/>
    <w:lvl w:ilvl="0" w:tplc="BBAADE98">
      <w:start w:val="1"/>
      <w:numFmt w:val="bullet"/>
      <w:lvlText w:val="•"/>
      <w:lvlJc w:val="left"/>
      <w:pPr>
        <w:tabs>
          <w:tab w:val="num" w:pos="720"/>
        </w:tabs>
        <w:ind w:left="720" w:hanging="360"/>
      </w:pPr>
      <w:rPr>
        <w:rFonts w:ascii="Arial" w:hAnsi="Arial" w:hint="default"/>
      </w:rPr>
    </w:lvl>
    <w:lvl w:ilvl="1" w:tplc="04CE9C1E">
      <w:start w:val="608"/>
      <w:numFmt w:val="bullet"/>
      <w:lvlText w:val="•"/>
      <w:lvlJc w:val="left"/>
      <w:pPr>
        <w:tabs>
          <w:tab w:val="num" w:pos="1440"/>
        </w:tabs>
        <w:ind w:left="1440" w:hanging="360"/>
      </w:pPr>
      <w:rPr>
        <w:rFonts w:ascii="Arial" w:hAnsi="Arial" w:hint="default"/>
      </w:rPr>
    </w:lvl>
    <w:lvl w:ilvl="2" w:tplc="C79893FE">
      <w:start w:val="673"/>
      <w:numFmt w:val="bullet"/>
      <w:lvlText w:val="•"/>
      <w:lvlJc w:val="left"/>
      <w:pPr>
        <w:tabs>
          <w:tab w:val="num" w:pos="2160"/>
        </w:tabs>
        <w:ind w:left="2160" w:hanging="360"/>
      </w:pPr>
      <w:rPr>
        <w:rFonts w:ascii="Arial" w:hAnsi="Arial" w:hint="default"/>
      </w:rPr>
    </w:lvl>
    <w:lvl w:ilvl="3" w:tplc="EEF4B17E" w:tentative="1">
      <w:start w:val="1"/>
      <w:numFmt w:val="bullet"/>
      <w:lvlText w:val="•"/>
      <w:lvlJc w:val="left"/>
      <w:pPr>
        <w:tabs>
          <w:tab w:val="num" w:pos="2880"/>
        </w:tabs>
        <w:ind w:left="2880" w:hanging="360"/>
      </w:pPr>
      <w:rPr>
        <w:rFonts w:ascii="Arial" w:hAnsi="Arial" w:hint="default"/>
      </w:rPr>
    </w:lvl>
    <w:lvl w:ilvl="4" w:tplc="D68C3490" w:tentative="1">
      <w:start w:val="1"/>
      <w:numFmt w:val="bullet"/>
      <w:lvlText w:val="•"/>
      <w:lvlJc w:val="left"/>
      <w:pPr>
        <w:tabs>
          <w:tab w:val="num" w:pos="3600"/>
        </w:tabs>
        <w:ind w:left="3600" w:hanging="360"/>
      </w:pPr>
      <w:rPr>
        <w:rFonts w:ascii="Arial" w:hAnsi="Arial" w:hint="default"/>
      </w:rPr>
    </w:lvl>
    <w:lvl w:ilvl="5" w:tplc="ECF4CACC" w:tentative="1">
      <w:start w:val="1"/>
      <w:numFmt w:val="bullet"/>
      <w:lvlText w:val="•"/>
      <w:lvlJc w:val="left"/>
      <w:pPr>
        <w:tabs>
          <w:tab w:val="num" w:pos="4320"/>
        </w:tabs>
        <w:ind w:left="4320" w:hanging="360"/>
      </w:pPr>
      <w:rPr>
        <w:rFonts w:ascii="Arial" w:hAnsi="Arial" w:hint="default"/>
      </w:rPr>
    </w:lvl>
    <w:lvl w:ilvl="6" w:tplc="6F34BA24" w:tentative="1">
      <w:start w:val="1"/>
      <w:numFmt w:val="bullet"/>
      <w:lvlText w:val="•"/>
      <w:lvlJc w:val="left"/>
      <w:pPr>
        <w:tabs>
          <w:tab w:val="num" w:pos="5040"/>
        </w:tabs>
        <w:ind w:left="5040" w:hanging="360"/>
      </w:pPr>
      <w:rPr>
        <w:rFonts w:ascii="Arial" w:hAnsi="Arial" w:hint="default"/>
      </w:rPr>
    </w:lvl>
    <w:lvl w:ilvl="7" w:tplc="7DC0B45E" w:tentative="1">
      <w:start w:val="1"/>
      <w:numFmt w:val="bullet"/>
      <w:lvlText w:val="•"/>
      <w:lvlJc w:val="left"/>
      <w:pPr>
        <w:tabs>
          <w:tab w:val="num" w:pos="5760"/>
        </w:tabs>
        <w:ind w:left="5760" w:hanging="360"/>
      </w:pPr>
      <w:rPr>
        <w:rFonts w:ascii="Arial" w:hAnsi="Arial" w:hint="default"/>
      </w:rPr>
    </w:lvl>
    <w:lvl w:ilvl="8" w:tplc="1A742A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E061AA"/>
    <w:multiLevelType w:val="hybridMultilevel"/>
    <w:tmpl w:val="DF8A3A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580394"/>
    <w:multiLevelType w:val="hybridMultilevel"/>
    <w:tmpl w:val="3082451A"/>
    <w:lvl w:ilvl="0" w:tplc="B10C86A0">
      <w:start w:val="1"/>
      <w:numFmt w:val="bullet"/>
      <w:lvlText w:val="-"/>
      <w:lvlJc w:val="left"/>
      <w:pPr>
        <w:ind w:left="720" w:hanging="360"/>
      </w:pPr>
      <w:rPr>
        <w:rFonts w:ascii="Times New Roman" w:hAnsi="Times New Roman" w:cs="Times New Roman" w:hint="default"/>
        <w:sz w:val="3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943084"/>
    <w:multiLevelType w:val="multilevel"/>
    <w:tmpl w:val="BE2C33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E949D8"/>
    <w:multiLevelType w:val="hybridMultilevel"/>
    <w:tmpl w:val="C8E217BC"/>
    <w:lvl w:ilvl="0" w:tplc="9EFEE94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01434D"/>
    <w:multiLevelType w:val="multilevel"/>
    <w:tmpl w:val="158CFB1C"/>
    <w:lvl w:ilvl="0">
      <w:start w:val="1"/>
      <w:numFmt w:val="none"/>
      <w:lvlText w:val="5."/>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BB3F6F"/>
    <w:multiLevelType w:val="hybridMultilevel"/>
    <w:tmpl w:val="899CB8B6"/>
    <w:lvl w:ilvl="0" w:tplc="A212F620">
      <w:start w:val="1"/>
      <w:numFmt w:val="bullet"/>
      <w:lvlText w:val="•"/>
      <w:lvlJc w:val="left"/>
      <w:pPr>
        <w:tabs>
          <w:tab w:val="num" w:pos="720"/>
        </w:tabs>
        <w:ind w:left="720" w:hanging="360"/>
      </w:pPr>
      <w:rPr>
        <w:rFonts w:ascii="Arial" w:hAnsi="Arial" w:hint="default"/>
      </w:rPr>
    </w:lvl>
    <w:lvl w:ilvl="1" w:tplc="E8C2EE40">
      <w:start w:val="238"/>
      <w:numFmt w:val="bullet"/>
      <w:lvlText w:val="•"/>
      <w:lvlJc w:val="left"/>
      <w:pPr>
        <w:tabs>
          <w:tab w:val="num" w:pos="1440"/>
        </w:tabs>
        <w:ind w:left="1440" w:hanging="360"/>
      </w:pPr>
      <w:rPr>
        <w:rFonts w:ascii="Arial" w:hAnsi="Arial" w:hint="default"/>
      </w:rPr>
    </w:lvl>
    <w:lvl w:ilvl="2" w:tplc="9D5C7444">
      <w:start w:val="238"/>
      <w:numFmt w:val="bullet"/>
      <w:lvlText w:val="•"/>
      <w:lvlJc w:val="left"/>
      <w:pPr>
        <w:tabs>
          <w:tab w:val="num" w:pos="2160"/>
        </w:tabs>
        <w:ind w:left="2160" w:hanging="360"/>
      </w:pPr>
      <w:rPr>
        <w:rFonts w:ascii="Arial" w:hAnsi="Arial" w:hint="default"/>
      </w:rPr>
    </w:lvl>
    <w:lvl w:ilvl="3" w:tplc="D750A97A">
      <w:start w:val="238"/>
      <w:numFmt w:val="bullet"/>
      <w:lvlText w:val="•"/>
      <w:lvlJc w:val="left"/>
      <w:pPr>
        <w:tabs>
          <w:tab w:val="num" w:pos="2880"/>
        </w:tabs>
        <w:ind w:left="2880" w:hanging="360"/>
      </w:pPr>
      <w:rPr>
        <w:rFonts w:ascii="Arial" w:hAnsi="Arial" w:hint="default"/>
      </w:rPr>
    </w:lvl>
    <w:lvl w:ilvl="4" w:tplc="31061DC4" w:tentative="1">
      <w:start w:val="1"/>
      <w:numFmt w:val="bullet"/>
      <w:lvlText w:val="•"/>
      <w:lvlJc w:val="left"/>
      <w:pPr>
        <w:tabs>
          <w:tab w:val="num" w:pos="3600"/>
        </w:tabs>
        <w:ind w:left="3600" w:hanging="360"/>
      </w:pPr>
      <w:rPr>
        <w:rFonts w:ascii="Arial" w:hAnsi="Arial" w:hint="default"/>
      </w:rPr>
    </w:lvl>
    <w:lvl w:ilvl="5" w:tplc="61186BA0" w:tentative="1">
      <w:start w:val="1"/>
      <w:numFmt w:val="bullet"/>
      <w:lvlText w:val="•"/>
      <w:lvlJc w:val="left"/>
      <w:pPr>
        <w:tabs>
          <w:tab w:val="num" w:pos="4320"/>
        </w:tabs>
        <w:ind w:left="4320" w:hanging="360"/>
      </w:pPr>
      <w:rPr>
        <w:rFonts w:ascii="Arial" w:hAnsi="Arial" w:hint="default"/>
      </w:rPr>
    </w:lvl>
    <w:lvl w:ilvl="6" w:tplc="2FBA7F10" w:tentative="1">
      <w:start w:val="1"/>
      <w:numFmt w:val="bullet"/>
      <w:lvlText w:val="•"/>
      <w:lvlJc w:val="left"/>
      <w:pPr>
        <w:tabs>
          <w:tab w:val="num" w:pos="5040"/>
        </w:tabs>
        <w:ind w:left="5040" w:hanging="360"/>
      </w:pPr>
      <w:rPr>
        <w:rFonts w:ascii="Arial" w:hAnsi="Arial" w:hint="default"/>
      </w:rPr>
    </w:lvl>
    <w:lvl w:ilvl="7" w:tplc="FAAAD548" w:tentative="1">
      <w:start w:val="1"/>
      <w:numFmt w:val="bullet"/>
      <w:lvlText w:val="•"/>
      <w:lvlJc w:val="left"/>
      <w:pPr>
        <w:tabs>
          <w:tab w:val="num" w:pos="5760"/>
        </w:tabs>
        <w:ind w:left="5760" w:hanging="360"/>
      </w:pPr>
      <w:rPr>
        <w:rFonts w:ascii="Arial" w:hAnsi="Arial" w:hint="default"/>
      </w:rPr>
    </w:lvl>
    <w:lvl w:ilvl="8" w:tplc="C6D224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BE790C"/>
    <w:multiLevelType w:val="hybridMultilevel"/>
    <w:tmpl w:val="85C698CC"/>
    <w:lvl w:ilvl="0" w:tplc="3C5E76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2B1646"/>
    <w:multiLevelType w:val="hybridMultilevel"/>
    <w:tmpl w:val="BE34486A"/>
    <w:lvl w:ilvl="0" w:tplc="EBDE3BC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B50A0E"/>
    <w:multiLevelType w:val="multilevel"/>
    <w:tmpl w:val="158CFB1C"/>
    <w:lvl w:ilvl="0">
      <w:start w:val="1"/>
      <w:numFmt w:val="none"/>
      <w:lvlText w:val="5."/>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DC63B1"/>
    <w:multiLevelType w:val="hybridMultilevel"/>
    <w:tmpl w:val="FE9E92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665BD6"/>
    <w:multiLevelType w:val="hybridMultilevel"/>
    <w:tmpl w:val="F36E820A"/>
    <w:lvl w:ilvl="0" w:tplc="B63A3C2C">
      <w:start w:val="1"/>
      <w:numFmt w:val="none"/>
      <w:lvlText w:val="6."/>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B3009D"/>
    <w:multiLevelType w:val="hybridMultilevel"/>
    <w:tmpl w:val="65EEE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0" w15:restartNumberingAfterBreak="0">
    <w:nsid w:val="7C8127F5"/>
    <w:multiLevelType w:val="hybridMultilevel"/>
    <w:tmpl w:val="3C6A31B2"/>
    <w:lvl w:ilvl="0" w:tplc="55283868">
      <w:start w:val="1"/>
      <w:numFmt w:val="none"/>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340ACB"/>
    <w:multiLevelType w:val="multilevel"/>
    <w:tmpl w:val="158CFB1C"/>
    <w:lvl w:ilvl="0">
      <w:start w:val="1"/>
      <w:numFmt w:val="none"/>
      <w:lvlText w:val="5."/>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3"/>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24"/>
  </w:num>
  <w:num w:numId="8">
    <w:abstractNumId w:val="20"/>
  </w:num>
  <w:num w:numId="9">
    <w:abstractNumId w:val="22"/>
  </w:num>
  <w:num w:numId="10">
    <w:abstractNumId w:val="31"/>
  </w:num>
  <w:num w:numId="11">
    <w:abstractNumId w:val="8"/>
  </w:num>
  <w:num w:numId="12">
    <w:abstractNumId w:val="4"/>
  </w:num>
  <w:num w:numId="13">
    <w:abstractNumId w:val="0"/>
  </w:num>
  <w:num w:numId="14">
    <w:abstractNumId w:val="21"/>
  </w:num>
  <w:num w:numId="15">
    <w:abstractNumId w:val="23"/>
  </w:num>
  <w:num w:numId="16">
    <w:abstractNumId w:val="7"/>
  </w:num>
  <w:num w:numId="17">
    <w:abstractNumId w:val="26"/>
  </w:num>
  <w:num w:numId="18">
    <w:abstractNumId w:val="12"/>
  </w:num>
  <w:num w:numId="19">
    <w:abstractNumId w:val="28"/>
  </w:num>
  <w:num w:numId="20">
    <w:abstractNumId w:val="18"/>
  </w:num>
  <w:num w:numId="21">
    <w:abstractNumId w:val="5"/>
  </w:num>
  <w:num w:numId="22">
    <w:abstractNumId w:val="30"/>
  </w:num>
  <w:num w:numId="23">
    <w:abstractNumId w:val="15"/>
  </w:num>
  <w:num w:numId="24">
    <w:abstractNumId w:val="2"/>
  </w:num>
  <w:num w:numId="25">
    <w:abstractNumId w:val="25"/>
  </w:num>
  <w:num w:numId="26">
    <w:abstractNumId w:val="27"/>
  </w:num>
  <w:num w:numId="27">
    <w:abstractNumId w:val="14"/>
  </w:num>
  <w:num w:numId="28">
    <w:abstractNumId w:val="16"/>
  </w:num>
  <w:num w:numId="29">
    <w:abstractNumId w:val="32"/>
  </w:num>
  <w:num w:numId="30">
    <w:abstractNumId w:val="17"/>
  </w:num>
  <w:num w:numId="31">
    <w:abstractNumId w:val="3"/>
  </w:num>
  <w:num w:numId="32">
    <w:abstractNumId w:val="6"/>
  </w:num>
  <w:num w:numId="33">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62"/>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A82"/>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554B"/>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2A6"/>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37"/>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3F"/>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02D"/>
    <w:rsid w:val="0053432F"/>
    <w:rsid w:val="005347FB"/>
    <w:rsid w:val="005349C5"/>
    <w:rsid w:val="005349EB"/>
    <w:rsid w:val="00534AA6"/>
    <w:rsid w:val="00534C83"/>
    <w:rsid w:val="00534CF7"/>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50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83F"/>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6DFB"/>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0E3"/>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813"/>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9E"/>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0B59"/>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A62"/>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1CF"/>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0C37"/>
    <w:rsid w:val="00A511FB"/>
    <w:rsid w:val="00A514EB"/>
    <w:rsid w:val="00A51BC1"/>
    <w:rsid w:val="00A521E0"/>
    <w:rsid w:val="00A5232D"/>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16A"/>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22"/>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1796D"/>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781"/>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2AE"/>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4CC7"/>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5B4F"/>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3B42"/>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D96"/>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ED0"/>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582"/>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786"/>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3A45FD2-9F6D-E14D-8996-94E6455F7F24}">
  <ds:schemaRefs>
    <ds:schemaRef ds:uri="http://schemas.openxmlformats.org/officeDocument/2006/bibliography"/>
  </ds:schemaRefs>
</ds:datastoreItem>
</file>

<file path=customXml/itemProps4.xml><?xml version="1.0" encoding="utf-8"?>
<ds:datastoreItem xmlns:ds="http://schemas.openxmlformats.org/officeDocument/2006/customXml" ds:itemID="{268AC45A-4557-6E44-BE7F-C5E68C773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109</TotalTime>
  <Pages>4</Pages>
  <Words>1313</Words>
  <Characters>7489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cp:lastModifiedBy>
  <cp:revision>14</cp:revision>
  <cp:lastPrinted>2017-11-08T23:02:00Z</cp:lastPrinted>
  <dcterms:created xsi:type="dcterms:W3CDTF">2019-02-16T00:41:00Z</dcterms:created>
  <dcterms:modified xsi:type="dcterms:W3CDTF">2019-02-16T04:05:00Z</dcterms:modified>
  <cp:category/>
</cp:coreProperties>
</file>